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C9" w:rsidRDefault="000A130D" w:rsidP="002569C9">
      <w:pPr>
        <w:widowControl w:val="0"/>
        <w:shd w:val="clear" w:color="auto" w:fill="FFFFFF"/>
        <w:suppressAutoHyphens/>
        <w:spacing w:after="150" w:line="360" w:lineRule="auto"/>
        <w:textAlignment w:val="baseline"/>
        <w:outlineLvl w:val="0"/>
        <w:rPr>
          <w:rFonts w:cs="Arial"/>
          <w:bCs/>
          <w:kern w:val="36"/>
          <w:sz w:val="31"/>
          <w:szCs w:val="31"/>
        </w:rPr>
      </w:pPr>
      <w:bookmarkStart w:id="0" w:name="_GoBack"/>
      <w:bookmarkEnd w:id="0"/>
      <w:r>
        <w:rPr>
          <w:b/>
          <w:bCs/>
          <w:sz w:val="32"/>
          <w:szCs w:val="32"/>
        </w:rPr>
        <w:t>PRESS RELEASE</w:t>
      </w:r>
    </w:p>
    <w:p w:rsidR="00793E88" w:rsidRPr="000A130D" w:rsidRDefault="00B331A7" w:rsidP="000A130D">
      <w:pPr>
        <w:widowControl w:val="0"/>
        <w:shd w:val="clear" w:color="auto" w:fill="FFFFFF"/>
        <w:suppressAutoHyphens/>
        <w:spacing w:after="150" w:line="276" w:lineRule="auto"/>
        <w:textAlignment w:val="baseline"/>
        <w:outlineLvl w:val="0"/>
        <w:rPr>
          <w:rFonts w:cs="Arial"/>
          <w:bCs/>
          <w:kern w:val="36"/>
          <w:sz w:val="31"/>
          <w:szCs w:val="31"/>
        </w:rPr>
      </w:pPr>
      <w:r>
        <w:rPr>
          <w:bCs/>
          <w:sz w:val="31"/>
          <w:szCs w:val="31"/>
        </w:rPr>
        <w:t>Products and Solutions For Single Pair Ethernet In Industrial Environments</w:t>
      </w:r>
    </w:p>
    <w:p w:rsidR="00C4055E" w:rsidRPr="00C4055E" w:rsidRDefault="00E30B61" w:rsidP="00EE34AA">
      <w:pPr>
        <w:spacing w:line="360" w:lineRule="auto"/>
        <w:jc w:val="both"/>
      </w:pPr>
      <w:r>
        <w:t>Telegärtner, Phoenix Contact, Weidmüller, Reichle &amp; De-Massari and Fluke Networks are developing mutually compatible components for Single Pair Ethernet</w:t>
      </w:r>
    </w:p>
    <w:p w:rsidR="00C4055E" w:rsidRPr="001854B9" w:rsidRDefault="00C4055E" w:rsidP="00EE34AA">
      <w:pPr>
        <w:spacing w:line="360" w:lineRule="auto"/>
        <w:jc w:val="both"/>
        <w:rPr>
          <w:rFonts w:cs="Arial"/>
          <w:lang w:val="en-US"/>
        </w:rPr>
      </w:pPr>
    </w:p>
    <w:p w:rsidR="000A130D" w:rsidRDefault="000A130D" w:rsidP="00EE34AA">
      <w:pPr>
        <w:spacing w:line="360" w:lineRule="auto"/>
        <w:jc w:val="both"/>
        <w:rPr>
          <w:rFonts w:cs="Arial"/>
        </w:rPr>
      </w:pPr>
      <w:r>
        <w:rPr>
          <w:noProof/>
          <w:lang w:val="ru-RU" w:eastAsia="ru-RU"/>
        </w:rPr>
        <w:drawing>
          <wp:inline distT="0" distB="0" distL="0" distR="0" wp14:anchorId="10FE0370" wp14:editId="7BD69B7A">
            <wp:extent cx="4262997" cy="3521122"/>
            <wp:effectExtent l="0" t="0" r="444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C0C080.tmp"/>
                    <pic:cNvPicPr/>
                  </pic:nvPicPr>
                  <pic:blipFill>
                    <a:blip r:embed="rId9">
                      <a:extLst>
                        <a:ext uri="{28A0092B-C50C-407E-A947-70E740481C1C}">
                          <a14:useLocalDpi xmlns:a14="http://schemas.microsoft.com/office/drawing/2010/main" val="0"/>
                        </a:ext>
                      </a:extLst>
                    </a:blip>
                    <a:stretch>
                      <a:fillRect/>
                    </a:stretch>
                  </pic:blipFill>
                  <pic:spPr>
                    <a:xfrm>
                      <a:off x="0" y="0"/>
                      <a:ext cx="4264159" cy="3522082"/>
                    </a:xfrm>
                    <a:prstGeom prst="rect">
                      <a:avLst/>
                    </a:prstGeom>
                  </pic:spPr>
                </pic:pic>
              </a:graphicData>
            </a:graphic>
          </wp:inline>
        </w:drawing>
      </w:r>
    </w:p>
    <w:p w:rsidR="000A130D" w:rsidRPr="00A949BF" w:rsidRDefault="000A130D" w:rsidP="000A130D">
      <w:pPr>
        <w:pStyle w:val="af7"/>
        <w:jc w:val="both"/>
        <w:rPr>
          <w:i w:val="0"/>
          <w:color w:val="auto"/>
          <w:sz w:val="20"/>
          <w:szCs w:val="20"/>
        </w:rPr>
      </w:pPr>
      <w:r>
        <w:rPr>
          <w:i w:val="0"/>
          <w:color w:val="auto"/>
          <w:sz w:val="20"/>
          <w:szCs w:val="20"/>
        </w:rPr>
        <w:t xml:space="preserve">Diagram </w:t>
      </w:r>
      <w:r w:rsidRPr="00A949BF">
        <w:rPr>
          <w:i w:val="0"/>
          <w:color w:val="auto"/>
          <w:sz w:val="20"/>
          <w:szCs w:val="20"/>
        </w:rPr>
        <w:fldChar w:fldCharType="begin"/>
      </w:r>
      <w:r w:rsidRPr="000A130D">
        <w:rPr>
          <w:i w:val="0"/>
          <w:color w:val="auto"/>
          <w:sz w:val="20"/>
          <w:szCs w:val="20"/>
        </w:rPr>
        <w:instrText xml:space="preserve"> SEQ Abbildung \* ARABIC </w:instrText>
      </w:r>
      <w:r w:rsidRPr="00A949BF">
        <w:rPr>
          <w:i w:val="0"/>
          <w:color w:val="auto"/>
          <w:sz w:val="20"/>
          <w:szCs w:val="20"/>
        </w:rPr>
        <w:fldChar w:fldCharType="separate"/>
      </w:r>
      <w:r w:rsidRPr="000A130D">
        <w:rPr>
          <w:i w:val="0"/>
          <w:color w:val="auto"/>
          <w:sz w:val="20"/>
          <w:szCs w:val="20"/>
        </w:rPr>
        <w:t>1</w:t>
      </w:r>
      <w:r w:rsidRPr="00A949BF">
        <w:rPr>
          <w:i w:val="0"/>
          <w:color w:val="auto"/>
          <w:sz w:val="20"/>
          <w:szCs w:val="20"/>
        </w:rPr>
        <w:fldChar w:fldCharType="end"/>
      </w:r>
      <w:r>
        <w:t xml:space="preserve">: </w:t>
      </w:r>
      <w:r>
        <w:rPr>
          <w:i w:val="0"/>
          <w:color w:val="auto"/>
          <w:sz w:val="20"/>
          <w:szCs w:val="20"/>
        </w:rPr>
        <w:t>SPE field-wireable IP20 connector</w:t>
      </w:r>
    </w:p>
    <w:p w:rsidR="000A130D" w:rsidRPr="001854B9" w:rsidRDefault="000A130D" w:rsidP="00EE34AA">
      <w:pPr>
        <w:spacing w:line="360" w:lineRule="auto"/>
        <w:jc w:val="both"/>
        <w:rPr>
          <w:rFonts w:cs="Arial"/>
          <w:lang w:val="en-US"/>
        </w:rPr>
      </w:pPr>
    </w:p>
    <w:p w:rsidR="002E5C1A" w:rsidRDefault="005E449A" w:rsidP="00793E88">
      <w:pPr>
        <w:spacing w:line="360" w:lineRule="auto"/>
        <w:jc w:val="both"/>
        <w:rPr>
          <w:rFonts w:cs="Arial"/>
          <w:szCs w:val="22"/>
        </w:rPr>
      </w:pPr>
      <w:r>
        <w:rPr>
          <w:b/>
          <w:szCs w:val="22"/>
        </w:rPr>
        <w:t>Steinenbronn, 25.11.2019.</w:t>
      </w:r>
      <w:r>
        <w:t xml:space="preserve"> The companies Telegärtner, Phoenix Contact, Weidmüller, Reichle &amp; De-Massari and Fluke Networks are presenting products and solutions for Single Pair Ethernet (SPE) in industrial environments at the SPS - Smart Production Solutions trade fair. These companies are developing and supporting the mating faces collectively added to the IEC 63171-2 (office environment) and IEC 63171-5 (industrial environment) standards. These standards define IP20 and IP65/67 mating faces for single- and four-pair data transmission in SPE applications. The companies in this partnership are pooling their technological expertise in order to ensure a standardised infrastructure for devices, connectors, cables and measurement technology. As they put it: “There’s no alternative to Single Pair Ethernet. It’s the key technology of the future and will enable end-to-end Ethernet-based communication in an unprecedented variety of application fields."  The purpose of SPE is not to define new higher transmission speeds or distances, rather, it is to form the framework for standardising reduced amounts of cabling for applications. This reduced cabling brings completely new areas of application into focus.</w:t>
      </w:r>
    </w:p>
    <w:p w:rsidR="002E5C1A" w:rsidRPr="001854B9" w:rsidRDefault="002E5C1A" w:rsidP="00793E88">
      <w:pPr>
        <w:spacing w:line="360" w:lineRule="auto"/>
        <w:jc w:val="both"/>
        <w:rPr>
          <w:rFonts w:cs="Arial"/>
          <w:szCs w:val="22"/>
          <w:lang w:val="en-US"/>
        </w:rPr>
      </w:pPr>
    </w:p>
    <w:p w:rsidR="00337169" w:rsidRDefault="00C4055E" w:rsidP="00793E88">
      <w:pPr>
        <w:spacing w:line="360" w:lineRule="auto"/>
        <w:jc w:val="both"/>
        <w:rPr>
          <w:rFonts w:cs="Arial"/>
          <w:szCs w:val="22"/>
        </w:rPr>
      </w:pPr>
      <w:r>
        <w:t>Data cabling with just one pair of wires enables transmission distances of up to 1000 metres at transmission rates ranging from 10 Mbps to 1 Gbps. This means that SPE is particularly well suited for infrastructure applications in machine building and systems manufacturing, process engineering, and also in building infrastructure. The main advantage is that SPE is environment-independent. Field devices, sensors, and actuators can be easily incorporated into the existing company-level Ethernet environment. There is no need for additional gateways or interfaces. SPE is allowing Ethernet to penetrate down to field level, thus making it more consistent, more efficient and more cost-effective than existing fieldbus systems.</w:t>
      </w:r>
    </w:p>
    <w:p w:rsidR="00C4055E" w:rsidRPr="001854B9" w:rsidRDefault="00C4055E" w:rsidP="00793E88">
      <w:pPr>
        <w:spacing w:line="360" w:lineRule="auto"/>
        <w:jc w:val="both"/>
        <w:rPr>
          <w:rFonts w:cs="Arial"/>
          <w:szCs w:val="22"/>
          <w:lang w:val="en-US"/>
        </w:rPr>
      </w:pPr>
    </w:p>
    <w:p w:rsidR="00C4055E" w:rsidRDefault="00C4055E" w:rsidP="00C4055E">
      <w:pPr>
        <w:spacing w:line="360" w:lineRule="auto"/>
        <w:jc w:val="both"/>
        <w:rPr>
          <w:rFonts w:cs="Arial"/>
          <w:szCs w:val="22"/>
        </w:rPr>
      </w:pPr>
      <w:r>
        <w:t>Development of the Single Pair Ethernet began in the automotive industry, where the trend towards developing smaller and better performing devices is clear to see. Future-oriented technologies such as autonomous vehicles require a connection technology that enables the high-speed transmission of data with a very small structural footprint. Other industries can also benefit from this approach. “Single Pair Ethernet means a reduction in the amount of work for systems manufacturers. Compared to four-pair Ethernet, installation is easier and enables a noticeable reduction in space and weight,” explains Jörg Scheer, Director of the Device &amp; Field Connectivity Division at Weidmüller. Simon Seereiner, Director of Product Management IE and SAI at Weidmüller, adds: “In new installations, users save on procurement costs and can design the necessary cable runs to be much more compact. The standardised mating faces also enable the efficient cabling of many communication devices that share a common line and interface. This means that users can continue to use the existing cabling and connect up to four devices, instead of just one.”</w:t>
      </w:r>
    </w:p>
    <w:p w:rsidR="00C4055E" w:rsidRPr="001854B9" w:rsidRDefault="00C4055E" w:rsidP="00C4055E">
      <w:pPr>
        <w:spacing w:line="360" w:lineRule="auto"/>
        <w:jc w:val="both"/>
        <w:rPr>
          <w:rFonts w:cs="Arial"/>
          <w:szCs w:val="22"/>
          <w:lang w:val="en-US"/>
        </w:rPr>
      </w:pPr>
    </w:p>
    <w:p w:rsidR="008661C4" w:rsidRDefault="00C4055E" w:rsidP="00C4055E">
      <w:pPr>
        <w:spacing w:line="360" w:lineRule="auto"/>
        <w:jc w:val="both"/>
        <w:rPr>
          <w:rFonts w:cs="Arial"/>
          <w:szCs w:val="22"/>
        </w:rPr>
      </w:pPr>
      <w:r>
        <w:t>Thanks to the standardised interfaces, single- and four-pair cabling concepts can be combined with each other just as IP20 and IP6x solutions can. The two-wire technology also enables the application-specific supply of end devices with outputs of up to 60 Watts via the same pair of wires (Power over Data Line – PoDL). “Our collaboration in this standardisation will create security,” says Torsten Janwlecke, President Business Area Device Connectors at Phoenix Contact. “Throughout the world, users will be able to construct efficient network and cabling structures, from the sensors, through the control and company level, right through to the Cloud, all based on standardised interfaces.” Scheer adds: “Thanks to digitalisation, intelligent networking is increasing in every aspect of life. Consistent data transmission is also becoming ever more relevant in the industrial environment. Therefore, Ethernet cabling is already replacing many traditional fieldbus systems today.”</w:t>
      </w:r>
    </w:p>
    <w:p w:rsidR="00FD3384" w:rsidRDefault="008661C4" w:rsidP="00C4055E">
      <w:pPr>
        <w:spacing w:line="360" w:lineRule="auto"/>
        <w:jc w:val="both"/>
        <w:rPr>
          <w:rFonts w:cs="Arial"/>
          <w:szCs w:val="22"/>
        </w:rPr>
      </w:pPr>
      <w:r>
        <w:t>SPE significantly reduces the total cost of the network infrastructure. At the same time it creates a standardised, coordinated, open network for complete consistency within the network levels.</w:t>
      </w:r>
    </w:p>
    <w:p w:rsidR="00FD3384" w:rsidRDefault="008661C4" w:rsidP="00C4055E">
      <w:pPr>
        <w:spacing w:line="360" w:lineRule="auto"/>
        <w:jc w:val="both"/>
        <w:rPr>
          <w:rFonts w:cs="Arial"/>
          <w:szCs w:val="22"/>
        </w:rPr>
      </w:pPr>
      <w:r>
        <w:t>“The smaller footprint frees up space for more ports, especially at the nodes. This in turn achieves more efficient use of the infrastructure," explains Marcel Leonhard, Director of DataVoice at Telegärtner.</w:t>
      </w:r>
    </w:p>
    <w:p w:rsidR="00FD3384" w:rsidRDefault="008661C4" w:rsidP="00C4055E">
      <w:pPr>
        <w:spacing w:line="360" w:lineRule="auto"/>
        <w:jc w:val="both"/>
        <w:rPr>
          <w:rFonts w:cs="Arial"/>
          <w:szCs w:val="22"/>
        </w:rPr>
      </w:pPr>
      <w:r>
        <w:t>“Moreover, SPE will create new potential in various market segments such as factory and process automation, but also in transport and logistics due to the integration of new device technologies.”</w:t>
      </w:r>
    </w:p>
    <w:p w:rsidR="00FD3384" w:rsidRPr="001854B9" w:rsidRDefault="00FD3384" w:rsidP="00C4055E">
      <w:pPr>
        <w:spacing w:line="360" w:lineRule="auto"/>
        <w:jc w:val="both"/>
        <w:rPr>
          <w:rFonts w:cs="Arial"/>
          <w:szCs w:val="22"/>
          <w:lang w:val="en-US"/>
        </w:rPr>
      </w:pPr>
    </w:p>
    <w:p w:rsidR="00C4055E" w:rsidRDefault="00C4055E" w:rsidP="00793E88">
      <w:pPr>
        <w:spacing w:line="360" w:lineRule="auto"/>
        <w:jc w:val="both"/>
        <w:rPr>
          <w:rFonts w:cs="Arial"/>
          <w:szCs w:val="22"/>
        </w:rPr>
      </w:pPr>
      <w:r>
        <w:t xml:space="preserve">“Certification of the installed Ethernet cabling is the most effective way to ensure correct operation. This is independent of the number of conductor pairs in the cable," says Mark Mullins, Global Communications Manager and co-founder of Fluke Networks. “In this way, customers can be sure that their investment in high-quality cabling and components is worthwhile. We have worked with over 30 standardisation committees to define the future of cabling since the company was founded. Our goal is to define effective standards that also allow the development of tools which customers can use to certify this exciting new technology and fix faults, if necessary.” </w:t>
      </w:r>
    </w:p>
    <w:p w:rsidR="00297A4C" w:rsidRPr="001854B9" w:rsidRDefault="00297A4C" w:rsidP="00793E88">
      <w:pPr>
        <w:spacing w:line="360" w:lineRule="auto"/>
        <w:jc w:val="both"/>
        <w:rPr>
          <w:rFonts w:cs="Arial"/>
          <w:szCs w:val="22"/>
          <w:lang w:val="en-US"/>
        </w:rPr>
      </w:pPr>
    </w:p>
    <w:p w:rsidR="00B331A7" w:rsidRDefault="00B331A7" w:rsidP="00B331A7">
      <w:pPr>
        <w:spacing w:line="360" w:lineRule="auto"/>
        <w:jc w:val="both"/>
        <w:rPr>
          <w:b/>
        </w:rPr>
      </w:pPr>
      <w:r>
        <w:rPr>
          <w:b/>
        </w:rPr>
        <w:t>About Telegärtner</w:t>
      </w:r>
    </w:p>
    <w:p w:rsidR="00B331A7" w:rsidRDefault="00B331A7" w:rsidP="00B331A7">
      <w:pPr>
        <w:spacing w:line="360" w:lineRule="auto"/>
        <w:jc w:val="both"/>
      </w:pPr>
      <w:r>
        <w:t>Telegärtner, founded in 1945, is a globally operating end-to-end provider for professional solutions in connection and transmission technology, and is one of the largest manufacturers in this field. Over the decades, the family company has focused on sophisticated applications of building, IT and network technology. For more than two decades, Telegärtner has been providing extremely robust connection technology for industrial network applications with high bandwidth requirements.</w:t>
      </w:r>
    </w:p>
    <w:p w:rsidR="00B331A7" w:rsidRPr="006631CC" w:rsidRDefault="00B331A7" w:rsidP="00B331A7">
      <w:pPr>
        <w:spacing w:line="360" w:lineRule="auto"/>
        <w:jc w:val="both"/>
      </w:pPr>
      <w:r>
        <w:t>Maximum customer orientation and sustained innovative power is the basis on which the globally acting Telegärtner Group develops, produces and sells professional tailor-made solutions.</w:t>
      </w:r>
      <w:r w:rsidR="00705D60">
        <w:t xml:space="preserve"> </w:t>
      </w:r>
      <w:hyperlink r:id="rId10" w:history="1">
        <w:r w:rsidR="0080451F">
          <w:rPr>
            <w:rStyle w:val="a5"/>
          </w:rPr>
          <w:t>www.telegaertner.com</w:t>
        </w:r>
      </w:hyperlink>
      <w:r w:rsidR="0080451F">
        <w:t xml:space="preserve">  </w:t>
      </w:r>
    </w:p>
    <w:p w:rsidR="008661C4" w:rsidRPr="001854B9" w:rsidRDefault="008661C4" w:rsidP="008661C4">
      <w:pPr>
        <w:spacing w:line="360" w:lineRule="auto"/>
        <w:jc w:val="both"/>
        <w:rPr>
          <w:b/>
          <w:lang w:val="en-US"/>
        </w:rPr>
      </w:pPr>
    </w:p>
    <w:p w:rsidR="008661C4" w:rsidRPr="001D77FB" w:rsidRDefault="008661C4" w:rsidP="008661C4">
      <w:pPr>
        <w:spacing w:line="360" w:lineRule="auto"/>
        <w:jc w:val="both"/>
        <w:rPr>
          <w:b/>
        </w:rPr>
      </w:pPr>
      <w:r>
        <w:rPr>
          <w:b/>
        </w:rPr>
        <w:t xml:space="preserve">About Phoenix Contact </w:t>
      </w:r>
    </w:p>
    <w:p w:rsidR="008661C4" w:rsidRPr="0033503F" w:rsidRDefault="008661C4" w:rsidP="008661C4">
      <w:pPr>
        <w:spacing w:line="360" w:lineRule="auto"/>
        <w:jc w:val="both"/>
      </w:pPr>
      <w:r>
        <w:t xml:space="preserve">Phoenix Contact is a global market leader for components, systems and solutions in the field of electrical engineering, electronics and automation. The family company currently employs about 17,400 people worldwide and achieved a turnover of 2.38 billion euros in 2018. The headquarters is in Blomberg, Westphalia. The Phoenix Contact Group comprises fourteen Germany-based companies and more than 55 independent sales subsidiaries around the world. Its international presence is further strengthened by more than 40 commercial agencies in Europe and overseas. </w:t>
      </w:r>
      <w:hyperlink r:id="rId11" w:history="1">
        <w:r>
          <w:rPr>
            <w:rStyle w:val="a5"/>
          </w:rPr>
          <w:t>www.phoenixcontact.com</w:t>
        </w:r>
      </w:hyperlink>
    </w:p>
    <w:p w:rsidR="008661C4" w:rsidRPr="001854B9" w:rsidRDefault="008661C4" w:rsidP="001D77FB">
      <w:pPr>
        <w:spacing w:line="360" w:lineRule="auto"/>
        <w:jc w:val="both"/>
        <w:rPr>
          <w:b/>
          <w:lang w:val="en-US"/>
        </w:rPr>
      </w:pPr>
    </w:p>
    <w:p w:rsidR="001D77FB" w:rsidRPr="0033503F" w:rsidRDefault="001D77FB" w:rsidP="001D77FB">
      <w:pPr>
        <w:spacing w:line="360" w:lineRule="auto"/>
        <w:jc w:val="both"/>
        <w:rPr>
          <w:b/>
        </w:rPr>
      </w:pPr>
      <w:r>
        <w:rPr>
          <w:b/>
        </w:rPr>
        <w:t>About Weidmüller</w:t>
      </w:r>
    </w:p>
    <w:p w:rsidR="001D77FB" w:rsidRPr="001D77FB" w:rsidRDefault="001D77FB" w:rsidP="001D77FB">
      <w:pPr>
        <w:spacing w:line="360" w:lineRule="auto"/>
        <w:jc w:val="both"/>
      </w:pPr>
      <w:r>
        <w:t xml:space="preserve">As experienced experts, we support our customers and partners around the world with products, solutions and services in the industrial environment of power, signal and data. We are at home in their industries and markets and know the technological challenges of tomorrow. We are therefore continuously developing innovative, sustainable and useful solutions for their individual needs. Together we set standards in Industrial Connectivity. The Weidmuller Group has manufacturing plants, sales companies and representatives in more than 80 countries.  In its fiscal year 2017 Weidmüller reached a turnover of 740 million euros with approximately 4,700 employees. </w:t>
      </w:r>
      <w:hyperlink r:id="rId12" w:history="1">
        <w:r>
          <w:rPr>
            <w:rStyle w:val="a5"/>
          </w:rPr>
          <w:t>www.weidmueller.de</w:t>
        </w:r>
      </w:hyperlink>
    </w:p>
    <w:p w:rsidR="001D77FB" w:rsidRPr="001854B9" w:rsidRDefault="001D77FB" w:rsidP="001D77FB">
      <w:pPr>
        <w:spacing w:line="360" w:lineRule="auto"/>
        <w:jc w:val="both"/>
        <w:rPr>
          <w:lang w:val="en-US"/>
        </w:rPr>
      </w:pPr>
    </w:p>
    <w:p w:rsidR="001D77FB" w:rsidRPr="001D77FB" w:rsidRDefault="001D77FB" w:rsidP="001D77FB">
      <w:pPr>
        <w:spacing w:line="360" w:lineRule="auto"/>
        <w:jc w:val="both"/>
        <w:rPr>
          <w:b/>
        </w:rPr>
      </w:pPr>
      <w:r>
        <w:rPr>
          <w:b/>
        </w:rPr>
        <w:t>About Fluke Networks</w:t>
      </w:r>
    </w:p>
    <w:p w:rsidR="001D77FB" w:rsidRPr="00B331A7" w:rsidRDefault="001D77FB" w:rsidP="001D77FB">
      <w:pPr>
        <w:spacing w:line="360" w:lineRule="auto"/>
        <w:jc w:val="both"/>
      </w:pPr>
      <w:r>
        <w:t xml:space="preserve">Fluke Networks is the worldwide leader in certification, troubleshooting and installation tools for professionals who install and maintain critical network cabling infrastructure. From installing state-of-the-art data centres to restoring services in the most challenging environments, the combination of legendary reliability and unmatched performance ensures jobs are done efficiently. Further information is available at </w:t>
      </w:r>
      <w:hyperlink r:id="rId13" w:history="1">
        <w:r>
          <w:rPr>
            <w:rStyle w:val="a5"/>
          </w:rPr>
          <w:t>www.flukenetworks.com</w:t>
        </w:r>
      </w:hyperlink>
    </w:p>
    <w:p w:rsidR="006631CC" w:rsidRPr="001854B9" w:rsidRDefault="006631CC" w:rsidP="001D77FB">
      <w:pPr>
        <w:spacing w:line="360" w:lineRule="auto"/>
        <w:jc w:val="both"/>
        <w:rPr>
          <w:lang w:val="en-US"/>
        </w:rPr>
      </w:pPr>
    </w:p>
    <w:p w:rsidR="003359BF" w:rsidRPr="001854B9" w:rsidRDefault="003359BF" w:rsidP="00D61C8F">
      <w:pPr>
        <w:pStyle w:val="StandardAH"/>
        <w:ind w:right="-26"/>
        <w:rPr>
          <w:rFonts w:ascii="Arial" w:hAnsi="Arial" w:cs="Arial"/>
          <w:strike/>
          <w:sz w:val="18"/>
          <w:szCs w:val="20"/>
          <w:lang w:val="en-US"/>
        </w:rPr>
      </w:pPr>
    </w:p>
    <w:p w:rsidR="008661C4" w:rsidRPr="008661C4" w:rsidRDefault="003359BF" w:rsidP="008661C4">
      <w:pPr>
        <w:tabs>
          <w:tab w:val="left" w:pos="1134"/>
        </w:tabs>
        <w:spacing w:line="360" w:lineRule="auto"/>
        <w:jc w:val="both"/>
        <w:rPr>
          <w:sz w:val="20"/>
          <w:szCs w:val="22"/>
        </w:rPr>
      </w:pPr>
      <w:r>
        <w:rPr>
          <w:sz w:val="20"/>
          <w:szCs w:val="22"/>
        </w:rPr>
        <w:t xml:space="preserve">Contact: </w:t>
      </w:r>
      <w:r>
        <w:rPr>
          <w:sz w:val="20"/>
          <w:szCs w:val="22"/>
        </w:rPr>
        <w:tab/>
        <w:t>Telegärtner Karl Gärtner GmbH</w:t>
      </w:r>
    </w:p>
    <w:p w:rsidR="008661C4" w:rsidRPr="001854B9" w:rsidRDefault="008661C4" w:rsidP="008661C4">
      <w:pPr>
        <w:tabs>
          <w:tab w:val="left" w:pos="1134"/>
        </w:tabs>
        <w:spacing w:line="360" w:lineRule="auto"/>
        <w:jc w:val="both"/>
        <w:rPr>
          <w:sz w:val="20"/>
          <w:szCs w:val="22"/>
          <w:lang w:val="de-DE"/>
        </w:rPr>
      </w:pPr>
      <w:r>
        <w:rPr>
          <w:sz w:val="20"/>
          <w:szCs w:val="22"/>
        </w:rPr>
        <w:tab/>
      </w:r>
      <w:r w:rsidRPr="001854B9">
        <w:rPr>
          <w:sz w:val="20"/>
          <w:szCs w:val="22"/>
          <w:lang w:val="de-DE"/>
        </w:rPr>
        <w:t>Lerchenstraße 35</w:t>
      </w:r>
    </w:p>
    <w:p w:rsidR="008661C4" w:rsidRPr="001854B9" w:rsidRDefault="008661C4" w:rsidP="008661C4">
      <w:pPr>
        <w:tabs>
          <w:tab w:val="left" w:pos="1134"/>
        </w:tabs>
        <w:spacing w:line="360" w:lineRule="auto"/>
        <w:jc w:val="both"/>
        <w:rPr>
          <w:sz w:val="20"/>
          <w:szCs w:val="22"/>
          <w:lang w:val="de-DE"/>
        </w:rPr>
      </w:pPr>
      <w:r w:rsidRPr="001854B9">
        <w:rPr>
          <w:sz w:val="20"/>
          <w:szCs w:val="22"/>
          <w:lang w:val="de-DE"/>
        </w:rPr>
        <w:tab/>
        <w:t>D-71144 Steinenbronn</w:t>
      </w:r>
    </w:p>
    <w:p w:rsidR="008661C4" w:rsidRPr="001854B9" w:rsidRDefault="008661C4" w:rsidP="008661C4">
      <w:pPr>
        <w:tabs>
          <w:tab w:val="left" w:pos="1134"/>
        </w:tabs>
        <w:spacing w:line="360" w:lineRule="auto"/>
        <w:jc w:val="both"/>
        <w:rPr>
          <w:sz w:val="20"/>
          <w:szCs w:val="22"/>
          <w:lang w:val="de-DE"/>
        </w:rPr>
      </w:pPr>
      <w:r w:rsidRPr="001854B9">
        <w:rPr>
          <w:sz w:val="20"/>
          <w:szCs w:val="22"/>
          <w:lang w:val="de-DE"/>
        </w:rPr>
        <w:t xml:space="preserve"> </w:t>
      </w:r>
      <w:r w:rsidRPr="001854B9">
        <w:rPr>
          <w:sz w:val="20"/>
          <w:szCs w:val="22"/>
          <w:lang w:val="de-DE"/>
        </w:rPr>
        <w:tab/>
        <w:t>Tel. (Head Office): +49 7157/125-0</w:t>
      </w:r>
    </w:p>
    <w:p w:rsidR="00692B99" w:rsidRPr="008661C4" w:rsidRDefault="008661C4" w:rsidP="008661C4">
      <w:pPr>
        <w:tabs>
          <w:tab w:val="left" w:pos="1134"/>
        </w:tabs>
        <w:spacing w:line="360" w:lineRule="auto"/>
        <w:jc w:val="both"/>
        <w:rPr>
          <w:strike/>
          <w:sz w:val="20"/>
          <w:szCs w:val="22"/>
        </w:rPr>
      </w:pPr>
      <w:r w:rsidRPr="001854B9">
        <w:rPr>
          <w:sz w:val="20"/>
          <w:szCs w:val="22"/>
          <w:lang w:val="de-DE"/>
        </w:rPr>
        <w:tab/>
      </w:r>
      <w:r>
        <w:rPr>
          <w:sz w:val="20"/>
          <w:szCs w:val="22"/>
        </w:rPr>
        <w:t>Website: http</w:t>
      </w:r>
      <w:r w:rsidR="001854B9">
        <w:rPr>
          <w:sz w:val="20"/>
          <w:szCs w:val="22"/>
        </w:rPr>
        <w:t>s</w:t>
      </w:r>
      <w:r>
        <w:rPr>
          <w:sz w:val="20"/>
          <w:szCs w:val="22"/>
        </w:rPr>
        <w:t>://www.telegaertner.com</w:t>
      </w:r>
    </w:p>
    <w:p w:rsidR="00692B99" w:rsidRPr="00692B99" w:rsidRDefault="00692B99" w:rsidP="00D61C8F">
      <w:pPr>
        <w:tabs>
          <w:tab w:val="left" w:pos="1134"/>
        </w:tabs>
        <w:spacing w:line="360" w:lineRule="auto"/>
        <w:jc w:val="both"/>
        <w:rPr>
          <w:sz w:val="20"/>
          <w:szCs w:val="22"/>
          <w:lang w:val="it-IT"/>
        </w:rPr>
      </w:pPr>
    </w:p>
    <w:sectPr w:rsidR="00692B99" w:rsidRPr="00692B99" w:rsidSect="000A130D">
      <w:headerReference w:type="default" r:id="rId14"/>
      <w:footerReference w:type="default" r:id="rId15"/>
      <w:pgSz w:w="11906" w:h="16838"/>
      <w:pgMar w:top="2118" w:right="2834" w:bottom="1134"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C8E26" w16cid:durableId="21828D45"/>
  <w16cid:commentId w16cid:paraId="601CE34A" w16cid:durableId="21828DF6"/>
  <w16cid:commentId w16cid:paraId="17EF6A3C" w16cid:durableId="21828F68"/>
  <w16cid:commentId w16cid:paraId="299802DA" w16cid:durableId="21829008"/>
  <w16cid:commentId w16cid:paraId="72845A99" w16cid:durableId="21828E55"/>
  <w16cid:commentId w16cid:paraId="586C7A45" w16cid:durableId="21828E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EE" w:rsidRDefault="00C07AEE">
      <w:r>
        <w:separator/>
      </w:r>
    </w:p>
  </w:endnote>
  <w:endnote w:type="continuationSeparator" w:id="0">
    <w:p w:rsidR="00C07AEE" w:rsidRDefault="00C0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635"/>
      <w:docPartObj>
        <w:docPartGallery w:val="Page Numbers (Bottom of Page)"/>
        <w:docPartUnique/>
      </w:docPartObj>
    </w:sdtPr>
    <w:sdtEndPr/>
    <w:sdtContent>
      <w:p w:rsidR="00232786" w:rsidRDefault="00932A38" w:rsidP="009D6AB0">
        <w:pPr>
          <w:pStyle w:val="a8"/>
          <w:jc w:val="center"/>
        </w:pPr>
        <w:r w:rsidRPr="009D6AB0">
          <w:fldChar w:fldCharType="begin"/>
        </w:r>
        <w:r w:rsidR="00232786" w:rsidRPr="009D6AB0">
          <w:rPr>
            <w:sz w:val="16"/>
            <w:szCs w:val="16"/>
          </w:rPr>
          <w:instrText xml:space="preserve"> PAGE   \* MERGEFORMAT </w:instrText>
        </w:r>
        <w:r w:rsidRPr="009D6AB0">
          <w:rPr>
            <w:sz w:val="16"/>
            <w:szCs w:val="16"/>
          </w:rPr>
          <w:fldChar w:fldCharType="separate"/>
        </w:r>
        <w:r w:rsidR="00705D60">
          <w:rPr>
            <w:noProof/>
            <w:sz w:val="16"/>
            <w:szCs w:val="16"/>
          </w:rPr>
          <w:t>1</w:t>
        </w:r>
        <w:r w:rsidRPr="009D6AB0">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EE" w:rsidRDefault="00C07AEE">
      <w:r>
        <w:separator/>
      </w:r>
    </w:p>
  </w:footnote>
  <w:footnote w:type="continuationSeparator" w:id="0">
    <w:p w:rsidR="00C07AEE" w:rsidRDefault="00C07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86" w:rsidRDefault="000A130D">
    <w:pPr>
      <w:pStyle w:val="a6"/>
      <w:rPr>
        <w:b/>
        <w:sz w:val="32"/>
        <w:szCs w:val="32"/>
      </w:rPr>
    </w:pPr>
    <w:r>
      <w:rPr>
        <w:noProof/>
        <w:lang w:val="ru-RU" w:eastAsia="ru-RU"/>
      </w:rPr>
      <w:drawing>
        <wp:anchor distT="0" distB="0" distL="114300" distR="114300" simplePos="0" relativeHeight="251659264" behindDoc="0" locked="0" layoutInCell="1" allowOverlap="1" wp14:anchorId="0C1817C9" wp14:editId="6C284BFC">
          <wp:simplePos x="0" y="0"/>
          <wp:positionH relativeFrom="column">
            <wp:posOffset>4498109</wp:posOffset>
          </wp:positionH>
          <wp:positionV relativeFrom="paragraph">
            <wp:posOffset>-101600</wp:posOffset>
          </wp:positionV>
          <wp:extent cx="1772171" cy="624921"/>
          <wp:effectExtent l="0" t="0" r="0" b="3810"/>
          <wp:wrapNone/>
          <wp:docPr id="1" name="Bild 2" descr="Logo_4c"/>
          <wp:cNvGraphicFramePr/>
          <a:graphic xmlns:a="http://schemas.openxmlformats.org/drawingml/2006/main">
            <a:graphicData uri="http://schemas.openxmlformats.org/drawingml/2006/picture">
              <pic:pic xmlns:pic="http://schemas.openxmlformats.org/drawingml/2006/picture">
                <pic:nvPicPr>
                  <pic:cNvPr id="2" name="Bild 2" descr="Logo_4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171" cy="6249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618"/>
    <w:multiLevelType w:val="hybridMultilevel"/>
    <w:tmpl w:val="3AEE4D4E"/>
    <w:lvl w:ilvl="0" w:tplc="C46CE9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8E2E59"/>
    <w:multiLevelType w:val="multilevel"/>
    <w:tmpl w:val="A24A5D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775B9"/>
    <w:multiLevelType w:val="hybridMultilevel"/>
    <w:tmpl w:val="F3640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AE7157"/>
    <w:multiLevelType w:val="hybridMultilevel"/>
    <w:tmpl w:val="C98CB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03A89"/>
    <w:multiLevelType w:val="hybridMultilevel"/>
    <w:tmpl w:val="D458E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BE15F4"/>
    <w:multiLevelType w:val="hybridMultilevel"/>
    <w:tmpl w:val="753A9FE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6F6B0E"/>
    <w:multiLevelType w:val="hybridMultilevel"/>
    <w:tmpl w:val="7E5054C4"/>
    <w:lvl w:ilvl="0" w:tplc="9BD22CA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866FF8"/>
    <w:multiLevelType w:val="hybridMultilevel"/>
    <w:tmpl w:val="4B4AA610"/>
    <w:lvl w:ilvl="0" w:tplc="9BD22CA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A6B36"/>
    <w:multiLevelType w:val="hybridMultilevel"/>
    <w:tmpl w:val="97E84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290A0D"/>
    <w:multiLevelType w:val="hybridMultilevel"/>
    <w:tmpl w:val="87426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C31754"/>
    <w:multiLevelType w:val="hybridMultilevel"/>
    <w:tmpl w:val="C2E460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8D0E73"/>
    <w:multiLevelType w:val="multilevel"/>
    <w:tmpl w:val="0BD2C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E7911"/>
    <w:multiLevelType w:val="hybridMultilevel"/>
    <w:tmpl w:val="A24A5D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7"/>
  </w:num>
  <w:num w:numId="5">
    <w:abstractNumId w:val="10"/>
  </w:num>
  <w:num w:numId="6">
    <w:abstractNumId w:val="5"/>
  </w:num>
  <w:num w:numId="7">
    <w:abstractNumId w:val="9"/>
  </w:num>
  <w:num w:numId="8">
    <w:abstractNumId w:val="11"/>
  </w:num>
  <w:num w:numId="9">
    <w:abstractNumId w:val="8"/>
  </w:num>
  <w:num w:numId="10">
    <w:abstractNumId w:val="4"/>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30"/>
    <w:rsid w:val="00000B7D"/>
    <w:rsid w:val="00000BD2"/>
    <w:rsid w:val="0000158F"/>
    <w:rsid w:val="00003371"/>
    <w:rsid w:val="00004CCF"/>
    <w:rsid w:val="000057CE"/>
    <w:rsid w:val="0000701B"/>
    <w:rsid w:val="00013CB8"/>
    <w:rsid w:val="0001518B"/>
    <w:rsid w:val="00017273"/>
    <w:rsid w:val="000179EB"/>
    <w:rsid w:val="00021549"/>
    <w:rsid w:val="000227E9"/>
    <w:rsid w:val="00026E27"/>
    <w:rsid w:val="00027035"/>
    <w:rsid w:val="000314DF"/>
    <w:rsid w:val="000339E4"/>
    <w:rsid w:val="00033A07"/>
    <w:rsid w:val="000355B2"/>
    <w:rsid w:val="00036CEE"/>
    <w:rsid w:val="000468A4"/>
    <w:rsid w:val="00050088"/>
    <w:rsid w:val="00051261"/>
    <w:rsid w:val="00051A23"/>
    <w:rsid w:val="00051ED1"/>
    <w:rsid w:val="000539F0"/>
    <w:rsid w:val="00060341"/>
    <w:rsid w:val="00067C16"/>
    <w:rsid w:val="00070551"/>
    <w:rsid w:val="00070E79"/>
    <w:rsid w:val="0007277F"/>
    <w:rsid w:val="00072C4E"/>
    <w:rsid w:val="00072E7A"/>
    <w:rsid w:val="00073340"/>
    <w:rsid w:val="0007478F"/>
    <w:rsid w:val="00074E7E"/>
    <w:rsid w:val="0007794C"/>
    <w:rsid w:val="000837EA"/>
    <w:rsid w:val="00083F1F"/>
    <w:rsid w:val="00086AB7"/>
    <w:rsid w:val="0008706C"/>
    <w:rsid w:val="000876CA"/>
    <w:rsid w:val="00087CD8"/>
    <w:rsid w:val="00090604"/>
    <w:rsid w:val="00090F51"/>
    <w:rsid w:val="000924AC"/>
    <w:rsid w:val="0009352C"/>
    <w:rsid w:val="000957BD"/>
    <w:rsid w:val="00096D1E"/>
    <w:rsid w:val="000A0EBE"/>
    <w:rsid w:val="000A130D"/>
    <w:rsid w:val="000A35AB"/>
    <w:rsid w:val="000A3D49"/>
    <w:rsid w:val="000A5A6A"/>
    <w:rsid w:val="000A6046"/>
    <w:rsid w:val="000A7CD8"/>
    <w:rsid w:val="000A7E05"/>
    <w:rsid w:val="000B0451"/>
    <w:rsid w:val="000B4AAD"/>
    <w:rsid w:val="000B5E6F"/>
    <w:rsid w:val="000C497A"/>
    <w:rsid w:val="000C54B0"/>
    <w:rsid w:val="000D5713"/>
    <w:rsid w:val="000D580F"/>
    <w:rsid w:val="000D74E4"/>
    <w:rsid w:val="000E0642"/>
    <w:rsid w:val="000E13EF"/>
    <w:rsid w:val="000E3118"/>
    <w:rsid w:val="000F0163"/>
    <w:rsid w:val="000F09CB"/>
    <w:rsid w:val="000F1327"/>
    <w:rsid w:val="000F23E2"/>
    <w:rsid w:val="000F2430"/>
    <w:rsid w:val="00100C66"/>
    <w:rsid w:val="00101BE7"/>
    <w:rsid w:val="00102309"/>
    <w:rsid w:val="00102448"/>
    <w:rsid w:val="00103384"/>
    <w:rsid w:val="001039AC"/>
    <w:rsid w:val="00117EAA"/>
    <w:rsid w:val="001217C0"/>
    <w:rsid w:val="00122555"/>
    <w:rsid w:val="00123CD3"/>
    <w:rsid w:val="0012567B"/>
    <w:rsid w:val="00126D5D"/>
    <w:rsid w:val="0013001D"/>
    <w:rsid w:val="001304E4"/>
    <w:rsid w:val="00132236"/>
    <w:rsid w:val="00132890"/>
    <w:rsid w:val="00133D69"/>
    <w:rsid w:val="00137D2B"/>
    <w:rsid w:val="001426F9"/>
    <w:rsid w:val="001456A7"/>
    <w:rsid w:val="00152C62"/>
    <w:rsid w:val="0015362B"/>
    <w:rsid w:val="00155711"/>
    <w:rsid w:val="001601E7"/>
    <w:rsid w:val="001610C4"/>
    <w:rsid w:val="00163D4F"/>
    <w:rsid w:val="00164D21"/>
    <w:rsid w:val="001716DA"/>
    <w:rsid w:val="00173115"/>
    <w:rsid w:val="00174884"/>
    <w:rsid w:val="001775EB"/>
    <w:rsid w:val="0018130D"/>
    <w:rsid w:val="00183774"/>
    <w:rsid w:val="001854B9"/>
    <w:rsid w:val="001905E2"/>
    <w:rsid w:val="00190C40"/>
    <w:rsid w:val="0019319D"/>
    <w:rsid w:val="00195798"/>
    <w:rsid w:val="00197E3A"/>
    <w:rsid w:val="001A1A69"/>
    <w:rsid w:val="001A23B3"/>
    <w:rsid w:val="001A258A"/>
    <w:rsid w:val="001A743C"/>
    <w:rsid w:val="001B4C08"/>
    <w:rsid w:val="001B77A6"/>
    <w:rsid w:val="001B7BED"/>
    <w:rsid w:val="001C668C"/>
    <w:rsid w:val="001D3784"/>
    <w:rsid w:val="001D603A"/>
    <w:rsid w:val="001D66CB"/>
    <w:rsid w:val="001D76DD"/>
    <w:rsid w:val="001D77FB"/>
    <w:rsid w:val="001E0CEC"/>
    <w:rsid w:val="001E109E"/>
    <w:rsid w:val="001E13D3"/>
    <w:rsid w:val="001E491B"/>
    <w:rsid w:val="001E6352"/>
    <w:rsid w:val="001E7D6A"/>
    <w:rsid w:val="001F200D"/>
    <w:rsid w:val="001F4D47"/>
    <w:rsid w:val="001F7EAF"/>
    <w:rsid w:val="0020183D"/>
    <w:rsid w:val="00201E47"/>
    <w:rsid w:val="002034F3"/>
    <w:rsid w:val="002040A5"/>
    <w:rsid w:val="00205363"/>
    <w:rsid w:val="00206AD9"/>
    <w:rsid w:val="00207A89"/>
    <w:rsid w:val="00212017"/>
    <w:rsid w:val="00212324"/>
    <w:rsid w:val="00212FB5"/>
    <w:rsid w:val="002175A6"/>
    <w:rsid w:val="00217606"/>
    <w:rsid w:val="00217764"/>
    <w:rsid w:val="00221D0D"/>
    <w:rsid w:val="00222F14"/>
    <w:rsid w:val="0022437B"/>
    <w:rsid w:val="00227154"/>
    <w:rsid w:val="0023146C"/>
    <w:rsid w:val="00232786"/>
    <w:rsid w:val="00233EC5"/>
    <w:rsid w:val="00234C2F"/>
    <w:rsid w:val="00234DA7"/>
    <w:rsid w:val="00235688"/>
    <w:rsid w:val="002356DB"/>
    <w:rsid w:val="002358FD"/>
    <w:rsid w:val="00235AED"/>
    <w:rsid w:val="00235B09"/>
    <w:rsid w:val="002365C3"/>
    <w:rsid w:val="00237138"/>
    <w:rsid w:val="00240D17"/>
    <w:rsid w:val="002420B1"/>
    <w:rsid w:val="00245583"/>
    <w:rsid w:val="00247301"/>
    <w:rsid w:val="00250E0F"/>
    <w:rsid w:val="002511BA"/>
    <w:rsid w:val="00252D03"/>
    <w:rsid w:val="002564B8"/>
    <w:rsid w:val="002565E2"/>
    <w:rsid w:val="002569C9"/>
    <w:rsid w:val="00261C8A"/>
    <w:rsid w:val="002736D4"/>
    <w:rsid w:val="00275EB6"/>
    <w:rsid w:val="00276D38"/>
    <w:rsid w:val="00277F47"/>
    <w:rsid w:val="0028192B"/>
    <w:rsid w:val="00281F5C"/>
    <w:rsid w:val="0028742B"/>
    <w:rsid w:val="0029023D"/>
    <w:rsid w:val="00290480"/>
    <w:rsid w:val="00293F75"/>
    <w:rsid w:val="00295C07"/>
    <w:rsid w:val="00296D1B"/>
    <w:rsid w:val="00297A4C"/>
    <w:rsid w:val="002A0A36"/>
    <w:rsid w:val="002A1149"/>
    <w:rsid w:val="002A268F"/>
    <w:rsid w:val="002A434B"/>
    <w:rsid w:val="002A6251"/>
    <w:rsid w:val="002A6B83"/>
    <w:rsid w:val="002A7950"/>
    <w:rsid w:val="002B18E0"/>
    <w:rsid w:val="002B3D50"/>
    <w:rsid w:val="002B5E35"/>
    <w:rsid w:val="002B6239"/>
    <w:rsid w:val="002B705B"/>
    <w:rsid w:val="002B780F"/>
    <w:rsid w:val="002B78B0"/>
    <w:rsid w:val="002C0A1C"/>
    <w:rsid w:val="002C103C"/>
    <w:rsid w:val="002C7E11"/>
    <w:rsid w:val="002D17EF"/>
    <w:rsid w:val="002D1AF5"/>
    <w:rsid w:val="002D1CC8"/>
    <w:rsid w:val="002D2AD9"/>
    <w:rsid w:val="002D3E4C"/>
    <w:rsid w:val="002E07F4"/>
    <w:rsid w:val="002E0F74"/>
    <w:rsid w:val="002E3BD6"/>
    <w:rsid w:val="002E5C1A"/>
    <w:rsid w:val="002F1407"/>
    <w:rsid w:val="002F17C8"/>
    <w:rsid w:val="002F4D7B"/>
    <w:rsid w:val="00300296"/>
    <w:rsid w:val="0030064E"/>
    <w:rsid w:val="0030188F"/>
    <w:rsid w:val="00301B96"/>
    <w:rsid w:val="003037AC"/>
    <w:rsid w:val="003042F2"/>
    <w:rsid w:val="0030662D"/>
    <w:rsid w:val="00314964"/>
    <w:rsid w:val="00314A2A"/>
    <w:rsid w:val="00316C14"/>
    <w:rsid w:val="0031729F"/>
    <w:rsid w:val="00320F35"/>
    <w:rsid w:val="00330C01"/>
    <w:rsid w:val="003339BF"/>
    <w:rsid w:val="0033503F"/>
    <w:rsid w:val="003359BF"/>
    <w:rsid w:val="00337169"/>
    <w:rsid w:val="00337CEE"/>
    <w:rsid w:val="00337F95"/>
    <w:rsid w:val="00340394"/>
    <w:rsid w:val="0034188A"/>
    <w:rsid w:val="0034253D"/>
    <w:rsid w:val="003432FE"/>
    <w:rsid w:val="00344449"/>
    <w:rsid w:val="0034450C"/>
    <w:rsid w:val="00344F31"/>
    <w:rsid w:val="00351F0E"/>
    <w:rsid w:val="00360090"/>
    <w:rsid w:val="00360098"/>
    <w:rsid w:val="00360BCE"/>
    <w:rsid w:val="003630AF"/>
    <w:rsid w:val="00363708"/>
    <w:rsid w:val="00364286"/>
    <w:rsid w:val="00371718"/>
    <w:rsid w:val="00373E55"/>
    <w:rsid w:val="00374B46"/>
    <w:rsid w:val="00374E4A"/>
    <w:rsid w:val="0037540B"/>
    <w:rsid w:val="003767D5"/>
    <w:rsid w:val="0038261F"/>
    <w:rsid w:val="003829A7"/>
    <w:rsid w:val="003908CB"/>
    <w:rsid w:val="003923BA"/>
    <w:rsid w:val="00394B15"/>
    <w:rsid w:val="003A2B95"/>
    <w:rsid w:val="003A2D4E"/>
    <w:rsid w:val="003A5204"/>
    <w:rsid w:val="003A5A01"/>
    <w:rsid w:val="003B511D"/>
    <w:rsid w:val="003C1C50"/>
    <w:rsid w:val="003C2E33"/>
    <w:rsid w:val="003D06EA"/>
    <w:rsid w:val="003D12EB"/>
    <w:rsid w:val="003D15C8"/>
    <w:rsid w:val="003D17D4"/>
    <w:rsid w:val="003D1AD6"/>
    <w:rsid w:val="003D1C00"/>
    <w:rsid w:val="003D73A2"/>
    <w:rsid w:val="003E00D9"/>
    <w:rsid w:val="003E0332"/>
    <w:rsid w:val="003E23B3"/>
    <w:rsid w:val="003E2422"/>
    <w:rsid w:val="003E6F20"/>
    <w:rsid w:val="003E7FED"/>
    <w:rsid w:val="003F1776"/>
    <w:rsid w:val="003F53D0"/>
    <w:rsid w:val="004002FC"/>
    <w:rsid w:val="00400538"/>
    <w:rsid w:val="004008DD"/>
    <w:rsid w:val="004017E2"/>
    <w:rsid w:val="004036B2"/>
    <w:rsid w:val="00404799"/>
    <w:rsid w:val="004076EF"/>
    <w:rsid w:val="00410788"/>
    <w:rsid w:val="004161D7"/>
    <w:rsid w:val="00421CB1"/>
    <w:rsid w:val="00423D3E"/>
    <w:rsid w:val="004313B4"/>
    <w:rsid w:val="00433377"/>
    <w:rsid w:val="0043346E"/>
    <w:rsid w:val="00433EB6"/>
    <w:rsid w:val="00435039"/>
    <w:rsid w:val="004375B3"/>
    <w:rsid w:val="00437A89"/>
    <w:rsid w:val="0044358E"/>
    <w:rsid w:val="004476E7"/>
    <w:rsid w:val="0045446C"/>
    <w:rsid w:val="0045591F"/>
    <w:rsid w:val="00455E3C"/>
    <w:rsid w:val="00460DFC"/>
    <w:rsid w:val="0046303A"/>
    <w:rsid w:val="004639A5"/>
    <w:rsid w:val="004661DA"/>
    <w:rsid w:val="00467973"/>
    <w:rsid w:val="0047223D"/>
    <w:rsid w:val="00474643"/>
    <w:rsid w:val="00475210"/>
    <w:rsid w:val="0048010A"/>
    <w:rsid w:val="0048038C"/>
    <w:rsid w:val="00483867"/>
    <w:rsid w:val="004847A3"/>
    <w:rsid w:val="0048587D"/>
    <w:rsid w:val="00486AAA"/>
    <w:rsid w:val="00487403"/>
    <w:rsid w:val="00490979"/>
    <w:rsid w:val="0049102A"/>
    <w:rsid w:val="00491107"/>
    <w:rsid w:val="00491A1B"/>
    <w:rsid w:val="00492539"/>
    <w:rsid w:val="00492FB1"/>
    <w:rsid w:val="004952D8"/>
    <w:rsid w:val="00495567"/>
    <w:rsid w:val="00495F79"/>
    <w:rsid w:val="004976BE"/>
    <w:rsid w:val="004A0101"/>
    <w:rsid w:val="004A056D"/>
    <w:rsid w:val="004A08C0"/>
    <w:rsid w:val="004A5068"/>
    <w:rsid w:val="004A5B55"/>
    <w:rsid w:val="004A757C"/>
    <w:rsid w:val="004A7D29"/>
    <w:rsid w:val="004B03DD"/>
    <w:rsid w:val="004C3812"/>
    <w:rsid w:val="004D1FAD"/>
    <w:rsid w:val="004D270B"/>
    <w:rsid w:val="004D420A"/>
    <w:rsid w:val="004D47E4"/>
    <w:rsid w:val="004D6E55"/>
    <w:rsid w:val="004E116D"/>
    <w:rsid w:val="004E2145"/>
    <w:rsid w:val="004E2D9A"/>
    <w:rsid w:val="004E30DF"/>
    <w:rsid w:val="004E4204"/>
    <w:rsid w:val="004E4453"/>
    <w:rsid w:val="004E5D7C"/>
    <w:rsid w:val="004E62B4"/>
    <w:rsid w:val="004F5BF4"/>
    <w:rsid w:val="004F622D"/>
    <w:rsid w:val="004F723D"/>
    <w:rsid w:val="00500C98"/>
    <w:rsid w:val="005033FB"/>
    <w:rsid w:val="0050490C"/>
    <w:rsid w:val="005061E8"/>
    <w:rsid w:val="00507736"/>
    <w:rsid w:val="00507B00"/>
    <w:rsid w:val="005122E3"/>
    <w:rsid w:val="00512506"/>
    <w:rsid w:val="005172B1"/>
    <w:rsid w:val="005202AC"/>
    <w:rsid w:val="00525D0D"/>
    <w:rsid w:val="00527331"/>
    <w:rsid w:val="005273FD"/>
    <w:rsid w:val="00527ED4"/>
    <w:rsid w:val="00530515"/>
    <w:rsid w:val="00531BAB"/>
    <w:rsid w:val="0053280A"/>
    <w:rsid w:val="0053718C"/>
    <w:rsid w:val="00537AF9"/>
    <w:rsid w:val="0054202C"/>
    <w:rsid w:val="005442E1"/>
    <w:rsid w:val="00545F56"/>
    <w:rsid w:val="00546152"/>
    <w:rsid w:val="00553253"/>
    <w:rsid w:val="00553CE2"/>
    <w:rsid w:val="00556274"/>
    <w:rsid w:val="0056059B"/>
    <w:rsid w:val="00562A1A"/>
    <w:rsid w:val="00563CEF"/>
    <w:rsid w:val="0056551A"/>
    <w:rsid w:val="005661C8"/>
    <w:rsid w:val="0056793F"/>
    <w:rsid w:val="00567C81"/>
    <w:rsid w:val="005708C6"/>
    <w:rsid w:val="00571F0B"/>
    <w:rsid w:val="00574320"/>
    <w:rsid w:val="00576FD0"/>
    <w:rsid w:val="005775CE"/>
    <w:rsid w:val="00577C16"/>
    <w:rsid w:val="00584682"/>
    <w:rsid w:val="0058612C"/>
    <w:rsid w:val="005935B7"/>
    <w:rsid w:val="00595B0F"/>
    <w:rsid w:val="005965B3"/>
    <w:rsid w:val="005967BF"/>
    <w:rsid w:val="00597442"/>
    <w:rsid w:val="005A26AE"/>
    <w:rsid w:val="005A2885"/>
    <w:rsid w:val="005A3CDE"/>
    <w:rsid w:val="005A58AB"/>
    <w:rsid w:val="005A58F9"/>
    <w:rsid w:val="005A7583"/>
    <w:rsid w:val="005A7BC9"/>
    <w:rsid w:val="005B1249"/>
    <w:rsid w:val="005B136F"/>
    <w:rsid w:val="005B1516"/>
    <w:rsid w:val="005B2136"/>
    <w:rsid w:val="005B27BD"/>
    <w:rsid w:val="005B2BA3"/>
    <w:rsid w:val="005B3C8B"/>
    <w:rsid w:val="005B3D0A"/>
    <w:rsid w:val="005B48A1"/>
    <w:rsid w:val="005B6960"/>
    <w:rsid w:val="005B7CEF"/>
    <w:rsid w:val="005C2698"/>
    <w:rsid w:val="005C41B7"/>
    <w:rsid w:val="005C4B93"/>
    <w:rsid w:val="005C57D9"/>
    <w:rsid w:val="005D4ACC"/>
    <w:rsid w:val="005D524A"/>
    <w:rsid w:val="005D5949"/>
    <w:rsid w:val="005D62F1"/>
    <w:rsid w:val="005D74D6"/>
    <w:rsid w:val="005D750F"/>
    <w:rsid w:val="005E089D"/>
    <w:rsid w:val="005E1C75"/>
    <w:rsid w:val="005E449A"/>
    <w:rsid w:val="005E5068"/>
    <w:rsid w:val="005E6514"/>
    <w:rsid w:val="005F03CB"/>
    <w:rsid w:val="005F2681"/>
    <w:rsid w:val="005F75E8"/>
    <w:rsid w:val="005F7A14"/>
    <w:rsid w:val="00601E4C"/>
    <w:rsid w:val="00602389"/>
    <w:rsid w:val="00602CC3"/>
    <w:rsid w:val="0060514F"/>
    <w:rsid w:val="00606CD4"/>
    <w:rsid w:val="00607ABE"/>
    <w:rsid w:val="00610F09"/>
    <w:rsid w:val="00611F65"/>
    <w:rsid w:val="00612DE1"/>
    <w:rsid w:val="00612FBB"/>
    <w:rsid w:val="00613843"/>
    <w:rsid w:val="00613C31"/>
    <w:rsid w:val="00615069"/>
    <w:rsid w:val="00616661"/>
    <w:rsid w:val="00617EC7"/>
    <w:rsid w:val="00620E94"/>
    <w:rsid w:val="00632C13"/>
    <w:rsid w:val="006333A2"/>
    <w:rsid w:val="0063405F"/>
    <w:rsid w:val="00634AA3"/>
    <w:rsid w:val="00635563"/>
    <w:rsid w:val="00636893"/>
    <w:rsid w:val="00640D87"/>
    <w:rsid w:val="00642157"/>
    <w:rsid w:val="00645630"/>
    <w:rsid w:val="0064575E"/>
    <w:rsid w:val="00646863"/>
    <w:rsid w:val="00647DF7"/>
    <w:rsid w:val="00650070"/>
    <w:rsid w:val="006504C4"/>
    <w:rsid w:val="00650B59"/>
    <w:rsid w:val="006537B9"/>
    <w:rsid w:val="00653FB7"/>
    <w:rsid w:val="006566F7"/>
    <w:rsid w:val="006576CB"/>
    <w:rsid w:val="00660A41"/>
    <w:rsid w:val="00661B75"/>
    <w:rsid w:val="006631CC"/>
    <w:rsid w:val="00663C22"/>
    <w:rsid w:val="00665757"/>
    <w:rsid w:val="00665F5A"/>
    <w:rsid w:val="006667C8"/>
    <w:rsid w:val="006700F4"/>
    <w:rsid w:val="0067421B"/>
    <w:rsid w:val="006753EE"/>
    <w:rsid w:val="006759CB"/>
    <w:rsid w:val="00676447"/>
    <w:rsid w:val="006803F3"/>
    <w:rsid w:val="00681F73"/>
    <w:rsid w:val="00682993"/>
    <w:rsid w:val="00685CE5"/>
    <w:rsid w:val="00686401"/>
    <w:rsid w:val="00692B99"/>
    <w:rsid w:val="006935CF"/>
    <w:rsid w:val="00695207"/>
    <w:rsid w:val="00696223"/>
    <w:rsid w:val="006A08CE"/>
    <w:rsid w:val="006A0A4E"/>
    <w:rsid w:val="006A1200"/>
    <w:rsid w:val="006A1BE6"/>
    <w:rsid w:val="006A1CAC"/>
    <w:rsid w:val="006A39F5"/>
    <w:rsid w:val="006A40E5"/>
    <w:rsid w:val="006B1036"/>
    <w:rsid w:val="006B4E4F"/>
    <w:rsid w:val="006B6F9A"/>
    <w:rsid w:val="006C2A43"/>
    <w:rsid w:val="006C2B88"/>
    <w:rsid w:val="006C485E"/>
    <w:rsid w:val="006D056C"/>
    <w:rsid w:val="006D0CB6"/>
    <w:rsid w:val="006D146E"/>
    <w:rsid w:val="006D15B2"/>
    <w:rsid w:val="006D19EC"/>
    <w:rsid w:val="006D6538"/>
    <w:rsid w:val="006E1174"/>
    <w:rsid w:val="006E48E2"/>
    <w:rsid w:val="006E4D5C"/>
    <w:rsid w:val="006E7744"/>
    <w:rsid w:val="006F63AD"/>
    <w:rsid w:val="00700AC9"/>
    <w:rsid w:val="0070288D"/>
    <w:rsid w:val="00702B42"/>
    <w:rsid w:val="00702D9F"/>
    <w:rsid w:val="00703B6D"/>
    <w:rsid w:val="00705D60"/>
    <w:rsid w:val="00706B5A"/>
    <w:rsid w:val="0070710F"/>
    <w:rsid w:val="007114E8"/>
    <w:rsid w:val="007124D1"/>
    <w:rsid w:val="007240B0"/>
    <w:rsid w:val="00724D21"/>
    <w:rsid w:val="007250C6"/>
    <w:rsid w:val="00726F17"/>
    <w:rsid w:val="00727A2C"/>
    <w:rsid w:val="0073003E"/>
    <w:rsid w:val="00732D6E"/>
    <w:rsid w:val="00733391"/>
    <w:rsid w:val="00734FAF"/>
    <w:rsid w:val="00735082"/>
    <w:rsid w:val="00737CD1"/>
    <w:rsid w:val="00741A8D"/>
    <w:rsid w:val="007452DF"/>
    <w:rsid w:val="00753732"/>
    <w:rsid w:val="0075436A"/>
    <w:rsid w:val="007566B1"/>
    <w:rsid w:val="0076034C"/>
    <w:rsid w:val="00764F53"/>
    <w:rsid w:val="007664F8"/>
    <w:rsid w:val="00767DD0"/>
    <w:rsid w:val="00770378"/>
    <w:rsid w:val="00771085"/>
    <w:rsid w:val="00771254"/>
    <w:rsid w:val="00772A65"/>
    <w:rsid w:val="00772DC8"/>
    <w:rsid w:val="0077330A"/>
    <w:rsid w:val="00773954"/>
    <w:rsid w:val="00780129"/>
    <w:rsid w:val="007860DA"/>
    <w:rsid w:val="0078742F"/>
    <w:rsid w:val="00790740"/>
    <w:rsid w:val="00793B02"/>
    <w:rsid w:val="00793E88"/>
    <w:rsid w:val="007955F7"/>
    <w:rsid w:val="00795C73"/>
    <w:rsid w:val="00796D52"/>
    <w:rsid w:val="007A06E3"/>
    <w:rsid w:val="007A1C97"/>
    <w:rsid w:val="007A300A"/>
    <w:rsid w:val="007A3165"/>
    <w:rsid w:val="007A4BCF"/>
    <w:rsid w:val="007A5197"/>
    <w:rsid w:val="007B0D78"/>
    <w:rsid w:val="007B3ABD"/>
    <w:rsid w:val="007B65B5"/>
    <w:rsid w:val="007B7E23"/>
    <w:rsid w:val="007C0993"/>
    <w:rsid w:val="007C0E59"/>
    <w:rsid w:val="007C1326"/>
    <w:rsid w:val="007C502F"/>
    <w:rsid w:val="007C7631"/>
    <w:rsid w:val="007D16F0"/>
    <w:rsid w:val="007D22B4"/>
    <w:rsid w:val="007D4440"/>
    <w:rsid w:val="007D4951"/>
    <w:rsid w:val="007D52EC"/>
    <w:rsid w:val="007D5818"/>
    <w:rsid w:val="007D7301"/>
    <w:rsid w:val="007E2FD8"/>
    <w:rsid w:val="007F225B"/>
    <w:rsid w:val="007F3550"/>
    <w:rsid w:val="007F59FD"/>
    <w:rsid w:val="007F625E"/>
    <w:rsid w:val="00801365"/>
    <w:rsid w:val="008043A0"/>
    <w:rsid w:val="0080451F"/>
    <w:rsid w:val="008054A4"/>
    <w:rsid w:val="00816232"/>
    <w:rsid w:val="00817DA3"/>
    <w:rsid w:val="00820F9B"/>
    <w:rsid w:val="00821ECD"/>
    <w:rsid w:val="00826252"/>
    <w:rsid w:val="00826514"/>
    <w:rsid w:val="00831CA3"/>
    <w:rsid w:val="008321D7"/>
    <w:rsid w:val="008330EB"/>
    <w:rsid w:val="00840C2E"/>
    <w:rsid w:val="00841D88"/>
    <w:rsid w:val="008420E2"/>
    <w:rsid w:val="0084212F"/>
    <w:rsid w:val="0085325E"/>
    <w:rsid w:val="0085339F"/>
    <w:rsid w:val="00854144"/>
    <w:rsid w:val="00861DF2"/>
    <w:rsid w:val="00861EF0"/>
    <w:rsid w:val="0086295B"/>
    <w:rsid w:val="00863CFA"/>
    <w:rsid w:val="008644F3"/>
    <w:rsid w:val="008648A6"/>
    <w:rsid w:val="008661C4"/>
    <w:rsid w:val="00866DBF"/>
    <w:rsid w:val="00870DD9"/>
    <w:rsid w:val="008728E3"/>
    <w:rsid w:val="00872A8D"/>
    <w:rsid w:val="0087332A"/>
    <w:rsid w:val="00874CCE"/>
    <w:rsid w:val="0087649E"/>
    <w:rsid w:val="00876B31"/>
    <w:rsid w:val="00877809"/>
    <w:rsid w:val="00880426"/>
    <w:rsid w:val="00881A2F"/>
    <w:rsid w:val="00883DA3"/>
    <w:rsid w:val="00884902"/>
    <w:rsid w:val="008914F3"/>
    <w:rsid w:val="008924D3"/>
    <w:rsid w:val="00892C20"/>
    <w:rsid w:val="00892D99"/>
    <w:rsid w:val="008A1DE9"/>
    <w:rsid w:val="008A337B"/>
    <w:rsid w:val="008A39F2"/>
    <w:rsid w:val="008B1AF0"/>
    <w:rsid w:val="008B2A39"/>
    <w:rsid w:val="008B328E"/>
    <w:rsid w:val="008B3CE1"/>
    <w:rsid w:val="008B4445"/>
    <w:rsid w:val="008B4BC1"/>
    <w:rsid w:val="008B5FE1"/>
    <w:rsid w:val="008B64BB"/>
    <w:rsid w:val="008B78EA"/>
    <w:rsid w:val="008C0797"/>
    <w:rsid w:val="008C27C0"/>
    <w:rsid w:val="008C2E71"/>
    <w:rsid w:val="008C571B"/>
    <w:rsid w:val="008C5B6B"/>
    <w:rsid w:val="008C5EF2"/>
    <w:rsid w:val="008C7DED"/>
    <w:rsid w:val="008D2D05"/>
    <w:rsid w:val="008D38D7"/>
    <w:rsid w:val="008D5510"/>
    <w:rsid w:val="008D7792"/>
    <w:rsid w:val="008E4235"/>
    <w:rsid w:val="008E6F71"/>
    <w:rsid w:val="008F2C2B"/>
    <w:rsid w:val="008F3BC3"/>
    <w:rsid w:val="008F5ACB"/>
    <w:rsid w:val="008F757F"/>
    <w:rsid w:val="009024B9"/>
    <w:rsid w:val="00906DE2"/>
    <w:rsid w:val="00911F35"/>
    <w:rsid w:val="00913C02"/>
    <w:rsid w:val="00915E0D"/>
    <w:rsid w:val="009179F0"/>
    <w:rsid w:val="00920309"/>
    <w:rsid w:val="009223C1"/>
    <w:rsid w:val="0092495D"/>
    <w:rsid w:val="00925ED6"/>
    <w:rsid w:val="00926F33"/>
    <w:rsid w:val="00927464"/>
    <w:rsid w:val="009310AD"/>
    <w:rsid w:val="00932A38"/>
    <w:rsid w:val="00933268"/>
    <w:rsid w:val="0093359D"/>
    <w:rsid w:val="00936351"/>
    <w:rsid w:val="00940B93"/>
    <w:rsid w:val="009417B0"/>
    <w:rsid w:val="0094329C"/>
    <w:rsid w:val="00950D11"/>
    <w:rsid w:val="0095100C"/>
    <w:rsid w:val="0095171F"/>
    <w:rsid w:val="0095581A"/>
    <w:rsid w:val="00960666"/>
    <w:rsid w:val="009634EA"/>
    <w:rsid w:val="00963B42"/>
    <w:rsid w:val="00963C64"/>
    <w:rsid w:val="00963DE4"/>
    <w:rsid w:val="0096424D"/>
    <w:rsid w:val="009643AC"/>
    <w:rsid w:val="00964C95"/>
    <w:rsid w:val="00966E43"/>
    <w:rsid w:val="0097047B"/>
    <w:rsid w:val="00973DD9"/>
    <w:rsid w:val="00974DCC"/>
    <w:rsid w:val="0097637E"/>
    <w:rsid w:val="00977277"/>
    <w:rsid w:val="00977D05"/>
    <w:rsid w:val="009800E3"/>
    <w:rsid w:val="00983CB0"/>
    <w:rsid w:val="00983E04"/>
    <w:rsid w:val="00983FCA"/>
    <w:rsid w:val="00986205"/>
    <w:rsid w:val="00987A84"/>
    <w:rsid w:val="0099185B"/>
    <w:rsid w:val="00991D40"/>
    <w:rsid w:val="00991F8E"/>
    <w:rsid w:val="009926D1"/>
    <w:rsid w:val="00992727"/>
    <w:rsid w:val="00993083"/>
    <w:rsid w:val="0099797C"/>
    <w:rsid w:val="009A3E28"/>
    <w:rsid w:val="009A583E"/>
    <w:rsid w:val="009A5BF6"/>
    <w:rsid w:val="009A5F57"/>
    <w:rsid w:val="009A637F"/>
    <w:rsid w:val="009A7F36"/>
    <w:rsid w:val="009B3065"/>
    <w:rsid w:val="009B36AB"/>
    <w:rsid w:val="009B37CF"/>
    <w:rsid w:val="009B4CF9"/>
    <w:rsid w:val="009C20A3"/>
    <w:rsid w:val="009C262F"/>
    <w:rsid w:val="009C27CD"/>
    <w:rsid w:val="009C39BD"/>
    <w:rsid w:val="009C4DDD"/>
    <w:rsid w:val="009C5249"/>
    <w:rsid w:val="009C599B"/>
    <w:rsid w:val="009C7F3A"/>
    <w:rsid w:val="009D66FB"/>
    <w:rsid w:val="009D6AB0"/>
    <w:rsid w:val="009D6F44"/>
    <w:rsid w:val="009D71CE"/>
    <w:rsid w:val="009D73B3"/>
    <w:rsid w:val="009E19F9"/>
    <w:rsid w:val="009E1A05"/>
    <w:rsid w:val="009E4BA5"/>
    <w:rsid w:val="009E4F45"/>
    <w:rsid w:val="009E6072"/>
    <w:rsid w:val="009E72CB"/>
    <w:rsid w:val="009F1F31"/>
    <w:rsid w:val="009F4C4D"/>
    <w:rsid w:val="009F5F40"/>
    <w:rsid w:val="009F6D1D"/>
    <w:rsid w:val="009F7C54"/>
    <w:rsid w:val="00A01054"/>
    <w:rsid w:val="00A1075D"/>
    <w:rsid w:val="00A10825"/>
    <w:rsid w:val="00A12518"/>
    <w:rsid w:val="00A201C1"/>
    <w:rsid w:val="00A241C2"/>
    <w:rsid w:val="00A2486A"/>
    <w:rsid w:val="00A26394"/>
    <w:rsid w:val="00A2747C"/>
    <w:rsid w:val="00A316F9"/>
    <w:rsid w:val="00A3481D"/>
    <w:rsid w:val="00A41698"/>
    <w:rsid w:val="00A44DEF"/>
    <w:rsid w:val="00A4500D"/>
    <w:rsid w:val="00A45D4A"/>
    <w:rsid w:val="00A47521"/>
    <w:rsid w:val="00A5019F"/>
    <w:rsid w:val="00A53529"/>
    <w:rsid w:val="00A54369"/>
    <w:rsid w:val="00A55B0C"/>
    <w:rsid w:val="00A569C0"/>
    <w:rsid w:val="00A60547"/>
    <w:rsid w:val="00A62BA4"/>
    <w:rsid w:val="00A706C9"/>
    <w:rsid w:val="00A7074A"/>
    <w:rsid w:val="00A75AA2"/>
    <w:rsid w:val="00A76EBC"/>
    <w:rsid w:val="00A802AD"/>
    <w:rsid w:val="00A81020"/>
    <w:rsid w:val="00A816DE"/>
    <w:rsid w:val="00A81C5D"/>
    <w:rsid w:val="00A920E0"/>
    <w:rsid w:val="00A949BF"/>
    <w:rsid w:val="00A95AE9"/>
    <w:rsid w:val="00A97B44"/>
    <w:rsid w:val="00AA0FA5"/>
    <w:rsid w:val="00AA6EE1"/>
    <w:rsid w:val="00AA76E1"/>
    <w:rsid w:val="00AB109E"/>
    <w:rsid w:val="00AB1241"/>
    <w:rsid w:val="00AB59E1"/>
    <w:rsid w:val="00AC2853"/>
    <w:rsid w:val="00AC3A15"/>
    <w:rsid w:val="00AD1551"/>
    <w:rsid w:val="00AD2DC9"/>
    <w:rsid w:val="00AD43DE"/>
    <w:rsid w:val="00AD44D9"/>
    <w:rsid w:val="00AD492B"/>
    <w:rsid w:val="00AD54E2"/>
    <w:rsid w:val="00AD76AD"/>
    <w:rsid w:val="00AE23E5"/>
    <w:rsid w:val="00AE2FBA"/>
    <w:rsid w:val="00AE312C"/>
    <w:rsid w:val="00AE535B"/>
    <w:rsid w:val="00AE6098"/>
    <w:rsid w:val="00AE70C3"/>
    <w:rsid w:val="00AF2D0E"/>
    <w:rsid w:val="00AF450E"/>
    <w:rsid w:val="00AF7D40"/>
    <w:rsid w:val="00B000F8"/>
    <w:rsid w:val="00B00434"/>
    <w:rsid w:val="00B01696"/>
    <w:rsid w:val="00B04A15"/>
    <w:rsid w:val="00B11A38"/>
    <w:rsid w:val="00B11F0E"/>
    <w:rsid w:val="00B12120"/>
    <w:rsid w:val="00B134B4"/>
    <w:rsid w:val="00B15929"/>
    <w:rsid w:val="00B177D7"/>
    <w:rsid w:val="00B1780F"/>
    <w:rsid w:val="00B20EBD"/>
    <w:rsid w:val="00B23E80"/>
    <w:rsid w:val="00B250D0"/>
    <w:rsid w:val="00B27CAA"/>
    <w:rsid w:val="00B3193F"/>
    <w:rsid w:val="00B331A7"/>
    <w:rsid w:val="00B36167"/>
    <w:rsid w:val="00B368F5"/>
    <w:rsid w:val="00B36A14"/>
    <w:rsid w:val="00B43F9F"/>
    <w:rsid w:val="00B45282"/>
    <w:rsid w:val="00B45F83"/>
    <w:rsid w:val="00B542DF"/>
    <w:rsid w:val="00B54EA4"/>
    <w:rsid w:val="00B60911"/>
    <w:rsid w:val="00B60F28"/>
    <w:rsid w:val="00B6768F"/>
    <w:rsid w:val="00B67D46"/>
    <w:rsid w:val="00B762DA"/>
    <w:rsid w:val="00B80448"/>
    <w:rsid w:val="00B80C60"/>
    <w:rsid w:val="00B848A8"/>
    <w:rsid w:val="00B859C4"/>
    <w:rsid w:val="00B87276"/>
    <w:rsid w:val="00B87618"/>
    <w:rsid w:val="00B91D3A"/>
    <w:rsid w:val="00B95304"/>
    <w:rsid w:val="00B95E2A"/>
    <w:rsid w:val="00B95FB5"/>
    <w:rsid w:val="00B979FC"/>
    <w:rsid w:val="00BA1409"/>
    <w:rsid w:val="00BA35A4"/>
    <w:rsid w:val="00BA3FD6"/>
    <w:rsid w:val="00BA4A07"/>
    <w:rsid w:val="00BA596C"/>
    <w:rsid w:val="00BA5BA4"/>
    <w:rsid w:val="00BB585E"/>
    <w:rsid w:val="00BB5AD5"/>
    <w:rsid w:val="00BB75AD"/>
    <w:rsid w:val="00BC4B8E"/>
    <w:rsid w:val="00BC59A4"/>
    <w:rsid w:val="00BC6D8D"/>
    <w:rsid w:val="00BC7C60"/>
    <w:rsid w:val="00BD21EC"/>
    <w:rsid w:val="00BD34EB"/>
    <w:rsid w:val="00BD4B50"/>
    <w:rsid w:val="00BE1301"/>
    <w:rsid w:val="00BE4DFA"/>
    <w:rsid w:val="00BE6F2E"/>
    <w:rsid w:val="00BF0372"/>
    <w:rsid w:val="00BF1FD6"/>
    <w:rsid w:val="00BF6177"/>
    <w:rsid w:val="00C01140"/>
    <w:rsid w:val="00C013AC"/>
    <w:rsid w:val="00C015BF"/>
    <w:rsid w:val="00C020E8"/>
    <w:rsid w:val="00C02925"/>
    <w:rsid w:val="00C0397B"/>
    <w:rsid w:val="00C07AEE"/>
    <w:rsid w:val="00C13475"/>
    <w:rsid w:val="00C1644A"/>
    <w:rsid w:val="00C17259"/>
    <w:rsid w:val="00C17E92"/>
    <w:rsid w:val="00C17EE4"/>
    <w:rsid w:val="00C217A9"/>
    <w:rsid w:val="00C26C64"/>
    <w:rsid w:val="00C27F50"/>
    <w:rsid w:val="00C31017"/>
    <w:rsid w:val="00C3273B"/>
    <w:rsid w:val="00C3318F"/>
    <w:rsid w:val="00C33FBA"/>
    <w:rsid w:val="00C36325"/>
    <w:rsid w:val="00C36D11"/>
    <w:rsid w:val="00C36FE7"/>
    <w:rsid w:val="00C4055E"/>
    <w:rsid w:val="00C42247"/>
    <w:rsid w:val="00C4283A"/>
    <w:rsid w:val="00C44966"/>
    <w:rsid w:val="00C45461"/>
    <w:rsid w:val="00C45879"/>
    <w:rsid w:val="00C47DF3"/>
    <w:rsid w:val="00C50D29"/>
    <w:rsid w:val="00C51918"/>
    <w:rsid w:val="00C6101F"/>
    <w:rsid w:val="00C65D59"/>
    <w:rsid w:val="00C67D4D"/>
    <w:rsid w:val="00C70297"/>
    <w:rsid w:val="00C70D28"/>
    <w:rsid w:val="00C71BED"/>
    <w:rsid w:val="00C7309F"/>
    <w:rsid w:val="00C73B6F"/>
    <w:rsid w:val="00C7649D"/>
    <w:rsid w:val="00C80C0C"/>
    <w:rsid w:val="00C82D97"/>
    <w:rsid w:val="00C85696"/>
    <w:rsid w:val="00C86059"/>
    <w:rsid w:val="00C91414"/>
    <w:rsid w:val="00C91881"/>
    <w:rsid w:val="00C918DA"/>
    <w:rsid w:val="00C920CB"/>
    <w:rsid w:val="00C960AA"/>
    <w:rsid w:val="00C96250"/>
    <w:rsid w:val="00CA1E58"/>
    <w:rsid w:val="00CA2378"/>
    <w:rsid w:val="00CA3352"/>
    <w:rsid w:val="00CA7AC2"/>
    <w:rsid w:val="00CA7B3D"/>
    <w:rsid w:val="00CA7DF9"/>
    <w:rsid w:val="00CB18E0"/>
    <w:rsid w:val="00CB2223"/>
    <w:rsid w:val="00CB753F"/>
    <w:rsid w:val="00CB7F58"/>
    <w:rsid w:val="00CC1556"/>
    <w:rsid w:val="00CC4085"/>
    <w:rsid w:val="00CC4CB2"/>
    <w:rsid w:val="00CC521F"/>
    <w:rsid w:val="00CC63C9"/>
    <w:rsid w:val="00CC7CDE"/>
    <w:rsid w:val="00CD3516"/>
    <w:rsid w:val="00CD4C08"/>
    <w:rsid w:val="00CD5F2E"/>
    <w:rsid w:val="00CE0A5E"/>
    <w:rsid w:val="00CE1354"/>
    <w:rsid w:val="00CE49F1"/>
    <w:rsid w:val="00CE6AEE"/>
    <w:rsid w:val="00CF1397"/>
    <w:rsid w:val="00CF648D"/>
    <w:rsid w:val="00CF656F"/>
    <w:rsid w:val="00CF68D1"/>
    <w:rsid w:val="00CF6947"/>
    <w:rsid w:val="00CF6B6E"/>
    <w:rsid w:val="00CF6C6E"/>
    <w:rsid w:val="00CF6DB7"/>
    <w:rsid w:val="00CF6F42"/>
    <w:rsid w:val="00CF75AB"/>
    <w:rsid w:val="00D0017D"/>
    <w:rsid w:val="00D01B20"/>
    <w:rsid w:val="00D02E09"/>
    <w:rsid w:val="00D05426"/>
    <w:rsid w:val="00D07543"/>
    <w:rsid w:val="00D0796D"/>
    <w:rsid w:val="00D11881"/>
    <w:rsid w:val="00D11F74"/>
    <w:rsid w:val="00D129A2"/>
    <w:rsid w:val="00D15F34"/>
    <w:rsid w:val="00D165B4"/>
    <w:rsid w:val="00D16C64"/>
    <w:rsid w:val="00D17097"/>
    <w:rsid w:val="00D23313"/>
    <w:rsid w:val="00D24300"/>
    <w:rsid w:val="00D24690"/>
    <w:rsid w:val="00D3029E"/>
    <w:rsid w:val="00D311BE"/>
    <w:rsid w:val="00D3202B"/>
    <w:rsid w:val="00D357BF"/>
    <w:rsid w:val="00D360FD"/>
    <w:rsid w:val="00D40EB7"/>
    <w:rsid w:val="00D44794"/>
    <w:rsid w:val="00D51862"/>
    <w:rsid w:val="00D52BA0"/>
    <w:rsid w:val="00D531BA"/>
    <w:rsid w:val="00D56C7B"/>
    <w:rsid w:val="00D60F6D"/>
    <w:rsid w:val="00D61B7B"/>
    <w:rsid w:val="00D61C8F"/>
    <w:rsid w:val="00D623D4"/>
    <w:rsid w:val="00D71610"/>
    <w:rsid w:val="00D71D1B"/>
    <w:rsid w:val="00D72E7D"/>
    <w:rsid w:val="00D73017"/>
    <w:rsid w:val="00D82692"/>
    <w:rsid w:val="00D83428"/>
    <w:rsid w:val="00D83B80"/>
    <w:rsid w:val="00D83DB5"/>
    <w:rsid w:val="00D8515A"/>
    <w:rsid w:val="00D867A2"/>
    <w:rsid w:val="00D87158"/>
    <w:rsid w:val="00D96A4E"/>
    <w:rsid w:val="00DA08C8"/>
    <w:rsid w:val="00DA2C5A"/>
    <w:rsid w:val="00DA5E12"/>
    <w:rsid w:val="00DA72F4"/>
    <w:rsid w:val="00DB3C8D"/>
    <w:rsid w:val="00DB4997"/>
    <w:rsid w:val="00DB58FA"/>
    <w:rsid w:val="00DB6CB0"/>
    <w:rsid w:val="00DB7126"/>
    <w:rsid w:val="00DC0133"/>
    <w:rsid w:val="00DC1ECE"/>
    <w:rsid w:val="00DC2CFF"/>
    <w:rsid w:val="00DC6018"/>
    <w:rsid w:val="00DD3036"/>
    <w:rsid w:val="00DD38C1"/>
    <w:rsid w:val="00DD3B1B"/>
    <w:rsid w:val="00DD6C22"/>
    <w:rsid w:val="00DD756E"/>
    <w:rsid w:val="00DD7B54"/>
    <w:rsid w:val="00DE1330"/>
    <w:rsid w:val="00DE184C"/>
    <w:rsid w:val="00DF0A45"/>
    <w:rsid w:val="00DF0B59"/>
    <w:rsid w:val="00DF0C17"/>
    <w:rsid w:val="00DF1C2C"/>
    <w:rsid w:val="00DF1E18"/>
    <w:rsid w:val="00DF27C6"/>
    <w:rsid w:val="00DF2D7E"/>
    <w:rsid w:val="00DF5C84"/>
    <w:rsid w:val="00DF6117"/>
    <w:rsid w:val="00DF7009"/>
    <w:rsid w:val="00E0094C"/>
    <w:rsid w:val="00E00EAF"/>
    <w:rsid w:val="00E019C4"/>
    <w:rsid w:val="00E02C8B"/>
    <w:rsid w:val="00E0334C"/>
    <w:rsid w:val="00E05BB8"/>
    <w:rsid w:val="00E12466"/>
    <w:rsid w:val="00E12789"/>
    <w:rsid w:val="00E15FFA"/>
    <w:rsid w:val="00E17252"/>
    <w:rsid w:val="00E203B2"/>
    <w:rsid w:val="00E20CF1"/>
    <w:rsid w:val="00E21815"/>
    <w:rsid w:val="00E231C3"/>
    <w:rsid w:val="00E26CF0"/>
    <w:rsid w:val="00E27AB6"/>
    <w:rsid w:val="00E30B61"/>
    <w:rsid w:val="00E33157"/>
    <w:rsid w:val="00E346F3"/>
    <w:rsid w:val="00E40840"/>
    <w:rsid w:val="00E40D92"/>
    <w:rsid w:val="00E4296F"/>
    <w:rsid w:val="00E43027"/>
    <w:rsid w:val="00E44909"/>
    <w:rsid w:val="00E4556D"/>
    <w:rsid w:val="00E477A9"/>
    <w:rsid w:val="00E507AD"/>
    <w:rsid w:val="00E541D7"/>
    <w:rsid w:val="00E64012"/>
    <w:rsid w:val="00E66477"/>
    <w:rsid w:val="00E67E11"/>
    <w:rsid w:val="00E715B5"/>
    <w:rsid w:val="00E71B34"/>
    <w:rsid w:val="00E74BA7"/>
    <w:rsid w:val="00E83D3D"/>
    <w:rsid w:val="00E84AA1"/>
    <w:rsid w:val="00E850B2"/>
    <w:rsid w:val="00E867BE"/>
    <w:rsid w:val="00E87344"/>
    <w:rsid w:val="00E87F4D"/>
    <w:rsid w:val="00E938F3"/>
    <w:rsid w:val="00E93F80"/>
    <w:rsid w:val="00E9465B"/>
    <w:rsid w:val="00EA0740"/>
    <w:rsid w:val="00EA1756"/>
    <w:rsid w:val="00EA3581"/>
    <w:rsid w:val="00EA4B62"/>
    <w:rsid w:val="00EA66F0"/>
    <w:rsid w:val="00EB4988"/>
    <w:rsid w:val="00EB5DEC"/>
    <w:rsid w:val="00EC0B16"/>
    <w:rsid w:val="00EC5D76"/>
    <w:rsid w:val="00EC7E75"/>
    <w:rsid w:val="00ED3AA8"/>
    <w:rsid w:val="00ED5574"/>
    <w:rsid w:val="00EE1004"/>
    <w:rsid w:val="00EE1FD0"/>
    <w:rsid w:val="00EE34AA"/>
    <w:rsid w:val="00EF108F"/>
    <w:rsid w:val="00EF3C4C"/>
    <w:rsid w:val="00EF57E0"/>
    <w:rsid w:val="00EF78B0"/>
    <w:rsid w:val="00F01CAE"/>
    <w:rsid w:val="00F01E5D"/>
    <w:rsid w:val="00F03A59"/>
    <w:rsid w:val="00F0415A"/>
    <w:rsid w:val="00F0556C"/>
    <w:rsid w:val="00F057A8"/>
    <w:rsid w:val="00F14B0C"/>
    <w:rsid w:val="00F1524C"/>
    <w:rsid w:val="00F16DD2"/>
    <w:rsid w:val="00F16F3D"/>
    <w:rsid w:val="00F21066"/>
    <w:rsid w:val="00F21CCB"/>
    <w:rsid w:val="00F274CB"/>
    <w:rsid w:val="00F32FF0"/>
    <w:rsid w:val="00F34F78"/>
    <w:rsid w:val="00F35089"/>
    <w:rsid w:val="00F370EE"/>
    <w:rsid w:val="00F42D80"/>
    <w:rsid w:val="00F43D19"/>
    <w:rsid w:val="00F448E3"/>
    <w:rsid w:val="00F454C1"/>
    <w:rsid w:val="00F5074E"/>
    <w:rsid w:val="00F55062"/>
    <w:rsid w:val="00F61AE9"/>
    <w:rsid w:val="00F62BBA"/>
    <w:rsid w:val="00F64276"/>
    <w:rsid w:val="00F66252"/>
    <w:rsid w:val="00F6662E"/>
    <w:rsid w:val="00F6758A"/>
    <w:rsid w:val="00F7025F"/>
    <w:rsid w:val="00F71771"/>
    <w:rsid w:val="00F719EC"/>
    <w:rsid w:val="00F72AC9"/>
    <w:rsid w:val="00F72B4F"/>
    <w:rsid w:val="00F803A1"/>
    <w:rsid w:val="00F81EFD"/>
    <w:rsid w:val="00F833B9"/>
    <w:rsid w:val="00F8348E"/>
    <w:rsid w:val="00F847EE"/>
    <w:rsid w:val="00F84DB6"/>
    <w:rsid w:val="00F8589A"/>
    <w:rsid w:val="00F864E5"/>
    <w:rsid w:val="00F90478"/>
    <w:rsid w:val="00F90F5B"/>
    <w:rsid w:val="00FA2AAE"/>
    <w:rsid w:val="00FA3C6D"/>
    <w:rsid w:val="00FA522E"/>
    <w:rsid w:val="00FB7BB3"/>
    <w:rsid w:val="00FC0E79"/>
    <w:rsid w:val="00FC14BB"/>
    <w:rsid w:val="00FC5E57"/>
    <w:rsid w:val="00FC7B7C"/>
    <w:rsid w:val="00FD1C38"/>
    <w:rsid w:val="00FD25D8"/>
    <w:rsid w:val="00FD3384"/>
    <w:rsid w:val="00FD33F5"/>
    <w:rsid w:val="00FD4C76"/>
    <w:rsid w:val="00FD5F5B"/>
    <w:rsid w:val="00FD6588"/>
    <w:rsid w:val="00FD70EE"/>
    <w:rsid w:val="00FE0ACE"/>
    <w:rsid w:val="00FE6A79"/>
    <w:rsid w:val="00FE6F25"/>
    <w:rsid w:val="00FF4230"/>
    <w:rsid w:val="00FF518D"/>
    <w:rsid w:val="00FF7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EDE6B44-7C1E-43DF-A7F3-D51A6A03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0D"/>
    <w:rPr>
      <w:rFonts w:ascii="Arial" w:hAnsi="Arial"/>
      <w:sz w:val="22"/>
    </w:rPr>
  </w:style>
  <w:style w:type="paragraph" w:styleId="1">
    <w:name w:val="heading 1"/>
    <w:basedOn w:val="a"/>
    <w:next w:val="a"/>
    <w:link w:val="10"/>
    <w:qFormat/>
    <w:rsid w:val="00AD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qFormat/>
    <w:rsid w:val="00DF7009"/>
    <w:pPr>
      <w:spacing w:line="240" w:lineRule="atLeast"/>
      <w:outlineLvl w:val="1"/>
    </w:pPr>
    <w:rPr>
      <w:rFonts w:ascii="Verdana" w:eastAsia="Batang" w:hAnsi="Verdana"/>
      <w:b/>
      <w:bCs/>
      <w:color w:val="444444"/>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E2FBA"/>
    <w:pPr>
      <w:shd w:val="clear" w:color="auto" w:fill="000080"/>
    </w:pPr>
    <w:rPr>
      <w:rFonts w:ascii="Tahoma" w:hAnsi="Tahoma" w:cs="Tahoma"/>
    </w:rPr>
  </w:style>
  <w:style w:type="paragraph" w:styleId="a4">
    <w:name w:val="Balloon Text"/>
    <w:basedOn w:val="a"/>
    <w:semiHidden/>
    <w:rsid w:val="00360098"/>
    <w:rPr>
      <w:rFonts w:ascii="Tahoma" w:hAnsi="Tahoma" w:cs="Tahoma"/>
      <w:sz w:val="16"/>
      <w:szCs w:val="16"/>
    </w:rPr>
  </w:style>
  <w:style w:type="character" w:styleId="a5">
    <w:name w:val="Hyperlink"/>
    <w:basedOn w:val="a0"/>
    <w:uiPriority w:val="99"/>
    <w:rsid w:val="004F723D"/>
    <w:rPr>
      <w:strike w:val="0"/>
      <w:dstrike w:val="0"/>
      <w:color w:val="0000FF"/>
      <w:u w:val="none"/>
      <w:effect w:val="none"/>
    </w:rPr>
  </w:style>
  <w:style w:type="paragraph" w:styleId="a6">
    <w:name w:val="header"/>
    <w:basedOn w:val="a"/>
    <w:link w:val="a7"/>
    <w:rsid w:val="00EA66F0"/>
    <w:pPr>
      <w:tabs>
        <w:tab w:val="center" w:pos="4536"/>
        <w:tab w:val="right" w:pos="9072"/>
      </w:tabs>
    </w:pPr>
  </w:style>
  <w:style w:type="paragraph" w:styleId="a8">
    <w:name w:val="footer"/>
    <w:basedOn w:val="a"/>
    <w:link w:val="a9"/>
    <w:uiPriority w:val="99"/>
    <w:rsid w:val="00EA66F0"/>
    <w:pPr>
      <w:tabs>
        <w:tab w:val="center" w:pos="4536"/>
        <w:tab w:val="right" w:pos="9072"/>
      </w:tabs>
    </w:pPr>
  </w:style>
  <w:style w:type="paragraph" w:customStyle="1" w:styleId="StandardAH">
    <w:name w:val="Standard_AH"/>
    <w:basedOn w:val="a"/>
    <w:rsid w:val="00BF0372"/>
    <w:pPr>
      <w:spacing w:line="360" w:lineRule="auto"/>
      <w:jc w:val="both"/>
    </w:pPr>
    <w:rPr>
      <w:rFonts w:ascii="Verdana" w:hAnsi="Verdana"/>
      <w:sz w:val="24"/>
      <w:szCs w:val="24"/>
    </w:rPr>
  </w:style>
  <w:style w:type="paragraph" w:styleId="aa">
    <w:name w:val="Normal (Web)"/>
    <w:basedOn w:val="a"/>
    <w:uiPriority w:val="99"/>
    <w:rsid w:val="00DF7009"/>
    <w:rPr>
      <w:rFonts w:ascii="Times New Roman" w:eastAsia="Batang" w:hAnsi="Times New Roman"/>
      <w:sz w:val="24"/>
      <w:szCs w:val="24"/>
    </w:rPr>
  </w:style>
  <w:style w:type="paragraph" w:styleId="ab">
    <w:name w:val="List Paragraph"/>
    <w:basedOn w:val="a"/>
    <w:uiPriority w:val="34"/>
    <w:qFormat/>
    <w:rsid w:val="00E66477"/>
    <w:pPr>
      <w:ind w:left="720"/>
      <w:contextualSpacing/>
    </w:pPr>
  </w:style>
  <w:style w:type="character" w:styleId="ac">
    <w:name w:val="FollowedHyperlink"/>
    <w:basedOn w:val="a0"/>
    <w:rsid w:val="006E7744"/>
    <w:rPr>
      <w:color w:val="800080" w:themeColor="followedHyperlink"/>
      <w:u w:val="single"/>
    </w:rPr>
  </w:style>
  <w:style w:type="character" w:styleId="ad">
    <w:name w:val="annotation reference"/>
    <w:uiPriority w:val="99"/>
    <w:semiHidden/>
    <w:unhideWhenUsed/>
    <w:rPr>
      <w:sz w:val="16"/>
      <w:szCs w:val="16"/>
    </w:rPr>
  </w:style>
  <w:style w:type="paragraph" w:styleId="ae">
    <w:name w:val="annotation text"/>
    <w:link w:val="af"/>
    <w:uiPriority w:val="99"/>
    <w:semiHidden/>
    <w:unhideWhenUsed/>
  </w:style>
  <w:style w:type="character" w:customStyle="1" w:styleId="af">
    <w:name w:val="Текст примечания Знак"/>
    <w:basedOn w:val="a0"/>
    <w:link w:val="ae"/>
    <w:semiHidden/>
    <w:rsid w:val="00AD43DE"/>
    <w:rPr>
      <w:rFonts w:ascii="Arial" w:hAnsi="Arial"/>
    </w:rPr>
  </w:style>
  <w:style w:type="paragraph" w:styleId="af0">
    <w:name w:val="annotation subject"/>
    <w:basedOn w:val="ae"/>
    <w:next w:val="ae"/>
    <w:link w:val="af1"/>
    <w:semiHidden/>
    <w:unhideWhenUsed/>
    <w:rsid w:val="00AD43DE"/>
    <w:rPr>
      <w:b/>
      <w:bCs/>
    </w:rPr>
  </w:style>
  <w:style w:type="character" w:customStyle="1" w:styleId="af1">
    <w:name w:val="Тема примечания Знак"/>
    <w:basedOn w:val="af"/>
    <w:link w:val="af0"/>
    <w:semiHidden/>
    <w:rsid w:val="00AD43DE"/>
    <w:rPr>
      <w:rFonts w:ascii="Arial" w:hAnsi="Arial"/>
      <w:b/>
      <w:bCs/>
    </w:rPr>
  </w:style>
  <w:style w:type="character" w:styleId="af2">
    <w:name w:val="Strong"/>
    <w:basedOn w:val="a0"/>
    <w:uiPriority w:val="22"/>
    <w:qFormat/>
    <w:rsid w:val="001E109E"/>
    <w:rPr>
      <w:b/>
      <w:bCs/>
    </w:rPr>
  </w:style>
  <w:style w:type="paragraph" w:customStyle="1" w:styleId="Default">
    <w:name w:val="Default"/>
    <w:rsid w:val="001A258A"/>
    <w:pPr>
      <w:autoSpaceDE w:val="0"/>
      <w:autoSpaceDN w:val="0"/>
      <w:adjustRightInd w:val="0"/>
    </w:pPr>
    <w:rPr>
      <w:rFonts w:ascii="Arial" w:hAnsi="Arial" w:cs="Arial"/>
      <w:color w:val="000000"/>
      <w:sz w:val="24"/>
      <w:szCs w:val="24"/>
    </w:rPr>
  </w:style>
  <w:style w:type="character" w:customStyle="1" w:styleId="hps">
    <w:name w:val="hps"/>
    <w:basedOn w:val="a0"/>
    <w:rsid w:val="000057CE"/>
  </w:style>
  <w:style w:type="character" w:customStyle="1" w:styleId="10">
    <w:name w:val="Заголовок 1 Знак"/>
    <w:basedOn w:val="a0"/>
    <w:link w:val="1"/>
    <w:rsid w:val="00AD76AD"/>
    <w:rPr>
      <w:rFonts w:asciiTheme="majorHAnsi" w:eastAsiaTheme="majorEastAsia" w:hAnsiTheme="majorHAnsi" w:cstheme="majorBidi"/>
      <w:b/>
      <w:bCs/>
      <w:color w:val="365F91" w:themeColor="accent1" w:themeShade="BF"/>
      <w:sz w:val="28"/>
      <w:szCs w:val="28"/>
    </w:rPr>
  </w:style>
  <w:style w:type="character" w:customStyle="1" w:styleId="textblack">
    <w:name w:val="textblack"/>
    <w:basedOn w:val="a0"/>
    <w:rsid w:val="00AD76AD"/>
  </w:style>
  <w:style w:type="character" w:customStyle="1" w:styleId="apple-converted-space">
    <w:name w:val="apple-converted-space"/>
    <w:basedOn w:val="a0"/>
    <w:rsid w:val="00070E79"/>
  </w:style>
  <w:style w:type="character" w:styleId="af3">
    <w:name w:val="Emphasis"/>
    <w:basedOn w:val="a0"/>
    <w:uiPriority w:val="20"/>
    <w:qFormat/>
    <w:rsid w:val="00070E79"/>
    <w:rPr>
      <w:i/>
      <w:iCs/>
    </w:rPr>
  </w:style>
  <w:style w:type="character" w:customStyle="1" w:styleId="a9">
    <w:name w:val="Нижний колонтитул Знак"/>
    <w:basedOn w:val="a0"/>
    <w:link w:val="a8"/>
    <w:uiPriority w:val="99"/>
    <w:rsid w:val="009D6AB0"/>
    <w:rPr>
      <w:rFonts w:ascii="Arial" w:hAnsi="Arial"/>
      <w:sz w:val="22"/>
    </w:rPr>
  </w:style>
  <w:style w:type="paragraph" w:styleId="af4">
    <w:name w:val="Revision"/>
    <w:hidden/>
    <w:uiPriority w:val="99"/>
    <w:semiHidden/>
    <w:rsid w:val="00DC2CFF"/>
    <w:rPr>
      <w:rFonts w:ascii="Arial" w:hAnsi="Arial"/>
      <w:sz w:val="22"/>
    </w:rPr>
  </w:style>
  <w:style w:type="paragraph" w:styleId="af5">
    <w:name w:val="Title"/>
    <w:basedOn w:val="a"/>
    <w:next w:val="a"/>
    <w:link w:val="af6"/>
    <w:qFormat/>
    <w:rsid w:val="00B121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Заголовок Знак"/>
    <w:basedOn w:val="a0"/>
    <w:link w:val="af5"/>
    <w:rsid w:val="00B12120"/>
    <w:rPr>
      <w:rFonts w:asciiTheme="majorHAnsi" w:eastAsiaTheme="majorEastAsia" w:hAnsiTheme="majorHAnsi" w:cstheme="majorBidi"/>
      <w:color w:val="17365D" w:themeColor="text2" w:themeShade="BF"/>
      <w:spacing w:val="5"/>
      <w:kern w:val="28"/>
      <w:sz w:val="52"/>
      <w:szCs w:val="52"/>
    </w:rPr>
  </w:style>
  <w:style w:type="character" w:customStyle="1" w:styleId="a7">
    <w:name w:val="Верхний колонтитул Знак"/>
    <w:basedOn w:val="a0"/>
    <w:link w:val="a6"/>
    <w:rsid w:val="006A1BE6"/>
    <w:rPr>
      <w:rFonts w:ascii="Arial" w:hAnsi="Arial"/>
      <w:sz w:val="22"/>
    </w:rPr>
  </w:style>
  <w:style w:type="paragraph" w:styleId="af7">
    <w:name w:val="caption"/>
    <w:basedOn w:val="a"/>
    <w:next w:val="a"/>
    <w:unhideWhenUsed/>
    <w:qFormat/>
    <w:rsid w:val="00A949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4630">
      <w:bodyDiv w:val="1"/>
      <w:marLeft w:val="0"/>
      <w:marRight w:val="0"/>
      <w:marTop w:val="0"/>
      <w:marBottom w:val="0"/>
      <w:divBdr>
        <w:top w:val="none" w:sz="0" w:space="0" w:color="auto"/>
        <w:left w:val="none" w:sz="0" w:space="0" w:color="auto"/>
        <w:bottom w:val="none" w:sz="0" w:space="0" w:color="auto"/>
        <w:right w:val="none" w:sz="0" w:space="0" w:color="auto"/>
      </w:divBdr>
    </w:div>
    <w:div w:id="228272809">
      <w:bodyDiv w:val="1"/>
      <w:marLeft w:val="0"/>
      <w:marRight w:val="0"/>
      <w:marTop w:val="0"/>
      <w:marBottom w:val="0"/>
      <w:divBdr>
        <w:top w:val="none" w:sz="0" w:space="0" w:color="auto"/>
        <w:left w:val="none" w:sz="0" w:space="0" w:color="auto"/>
        <w:bottom w:val="none" w:sz="0" w:space="0" w:color="auto"/>
        <w:right w:val="none" w:sz="0" w:space="0" w:color="auto"/>
      </w:divBdr>
      <w:divsChild>
        <w:div w:id="515117595">
          <w:marLeft w:val="0"/>
          <w:marRight w:val="0"/>
          <w:marTop w:val="0"/>
          <w:marBottom w:val="0"/>
          <w:divBdr>
            <w:top w:val="none" w:sz="0" w:space="0" w:color="auto"/>
            <w:left w:val="none" w:sz="0" w:space="0" w:color="auto"/>
            <w:bottom w:val="none" w:sz="0" w:space="0" w:color="auto"/>
            <w:right w:val="none" w:sz="0" w:space="0" w:color="auto"/>
          </w:divBdr>
        </w:div>
        <w:div w:id="586616126">
          <w:marLeft w:val="0"/>
          <w:marRight w:val="0"/>
          <w:marTop w:val="0"/>
          <w:marBottom w:val="0"/>
          <w:divBdr>
            <w:top w:val="none" w:sz="0" w:space="0" w:color="auto"/>
            <w:left w:val="none" w:sz="0" w:space="0" w:color="auto"/>
            <w:bottom w:val="none" w:sz="0" w:space="0" w:color="auto"/>
            <w:right w:val="none" w:sz="0" w:space="0" w:color="auto"/>
          </w:divBdr>
        </w:div>
      </w:divsChild>
    </w:div>
    <w:div w:id="237057269">
      <w:bodyDiv w:val="1"/>
      <w:marLeft w:val="0"/>
      <w:marRight w:val="0"/>
      <w:marTop w:val="0"/>
      <w:marBottom w:val="0"/>
      <w:divBdr>
        <w:top w:val="none" w:sz="0" w:space="0" w:color="auto"/>
        <w:left w:val="none" w:sz="0" w:space="0" w:color="auto"/>
        <w:bottom w:val="none" w:sz="0" w:space="0" w:color="auto"/>
        <w:right w:val="none" w:sz="0" w:space="0" w:color="auto"/>
      </w:divBdr>
    </w:div>
    <w:div w:id="452333677">
      <w:bodyDiv w:val="1"/>
      <w:marLeft w:val="0"/>
      <w:marRight w:val="0"/>
      <w:marTop w:val="0"/>
      <w:marBottom w:val="0"/>
      <w:divBdr>
        <w:top w:val="none" w:sz="0" w:space="0" w:color="auto"/>
        <w:left w:val="none" w:sz="0" w:space="0" w:color="auto"/>
        <w:bottom w:val="none" w:sz="0" w:space="0" w:color="auto"/>
        <w:right w:val="none" w:sz="0" w:space="0" w:color="auto"/>
      </w:divBdr>
    </w:div>
    <w:div w:id="479544221">
      <w:bodyDiv w:val="1"/>
      <w:marLeft w:val="0"/>
      <w:marRight w:val="0"/>
      <w:marTop w:val="0"/>
      <w:marBottom w:val="0"/>
      <w:divBdr>
        <w:top w:val="none" w:sz="0" w:space="0" w:color="auto"/>
        <w:left w:val="none" w:sz="0" w:space="0" w:color="auto"/>
        <w:bottom w:val="none" w:sz="0" w:space="0" w:color="auto"/>
        <w:right w:val="none" w:sz="0" w:space="0" w:color="auto"/>
      </w:divBdr>
    </w:div>
    <w:div w:id="497770719">
      <w:bodyDiv w:val="1"/>
      <w:marLeft w:val="0"/>
      <w:marRight w:val="0"/>
      <w:marTop w:val="0"/>
      <w:marBottom w:val="0"/>
      <w:divBdr>
        <w:top w:val="none" w:sz="0" w:space="0" w:color="auto"/>
        <w:left w:val="none" w:sz="0" w:space="0" w:color="auto"/>
        <w:bottom w:val="none" w:sz="0" w:space="0" w:color="auto"/>
        <w:right w:val="none" w:sz="0" w:space="0" w:color="auto"/>
      </w:divBdr>
    </w:div>
    <w:div w:id="572743373">
      <w:bodyDiv w:val="1"/>
      <w:marLeft w:val="0"/>
      <w:marRight w:val="0"/>
      <w:marTop w:val="0"/>
      <w:marBottom w:val="0"/>
      <w:divBdr>
        <w:top w:val="none" w:sz="0" w:space="0" w:color="auto"/>
        <w:left w:val="none" w:sz="0" w:space="0" w:color="auto"/>
        <w:bottom w:val="none" w:sz="0" w:space="0" w:color="auto"/>
        <w:right w:val="none" w:sz="0" w:space="0" w:color="auto"/>
      </w:divBdr>
      <w:divsChild>
        <w:div w:id="715734618">
          <w:marLeft w:val="0"/>
          <w:marRight w:val="0"/>
          <w:marTop w:val="0"/>
          <w:marBottom w:val="0"/>
          <w:divBdr>
            <w:top w:val="none" w:sz="0" w:space="0" w:color="auto"/>
            <w:left w:val="none" w:sz="0" w:space="0" w:color="auto"/>
            <w:bottom w:val="none" w:sz="0" w:space="0" w:color="auto"/>
            <w:right w:val="none" w:sz="0" w:space="0" w:color="auto"/>
          </w:divBdr>
          <w:divsChild>
            <w:div w:id="1453015229">
              <w:marLeft w:val="0"/>
              <w:marRight w:val="0"/>
              <w:marTop w:val="75"/>
              <w:marBottom w:val="0"/>
              <w:divBdr>
                <w:top w:val="none" w:sz="0" w:space="0" w:color="auto"/>
                <w:left w:val="none" w:sz="0" w:space="0" w:color="auto"/>
                <w:bottom w:val="none" w:sz="0" w:space="0" w:color="auto"/>
                <w:right w:val="none" w:sz="0" w:space="0" w:color="auto"/>
              </w:divBdr>
              <w:divsChild>
                <w:div w:id="1884713364">
                  <w:marLeft w:val="0"/>
                  <w:marRight w:val="0"/>
                  <w:marTop w:val="0"/>
                  <w:marBottom w:val="0"/>
                  <w:divBdr>
                    <w:top w:val="none" w:sz="0" w:space="0" w:color="auto"/>
                    <w:left w:val="none" w:sz="0" w:space="0" w:color="auto"/>
                    <w:bottom w:val="none" w:sz="0" w:space="0" w:color="auto"/>
                    <w:right w:val="none" w:sz="0" w:space="0" w:color="auto"/>
                  </w:divBdr>
                  <w:divsChild>
                    <w:div w:id="1319386049">
                      <w:marLeft w:val="0"/>
                      <w:marRight w:val="0"/>
                      <w:marTop w:val="0"/>
                      <w:marBottom w:val="0"/>
                      <w:divBdr>
                        <w:top w:val="none" w:sz="0" w:space="0" w:color="auto"/>
                        <w:left w:val="none" w:sz="0" w:space="0" w:color="auto"/>
                        <w:bottom w:val="none" w:sz="0" w:space="0" w:color="auto"/>
                        <w:right w:val="none" w:sz="0" w:space="0" w:color="auto"/>
                      </w:divBdr>
                      <w:divsChild>
                        <w:div w:id="35080496">
                          <w:marLeft w:val="0"/>
                          <w:marRight w:val="0"/>
                          <w:marTop w:val="0"/>
                          <w:marBottom w:val="0"/>
                          <w:divBdr>
                            <w:top w:val="none" w:sz="0" w:space="0" w:color="auto"/>
                            <w:left w:val="none" w:sz="0" w:space="0" w:color="auto"/>
                            <w:bottom w:val="none" w:sz="0" w:space="0" w:color="auto"/>
                            <w:right w:val="none" w:sz="0" w:space="0" w:color="auto"/>
                          </w:divBdr>
                          <w:divsChild>
                            <w:div w:id="400717218">
                              <w:marLeft w:val="0"/>
                              <w:marRight w:val="0"/>
                              <w:marTop w:val="0"/>
                              <w:marBottom w:val="0"/>
                              <w:divBdr>
                                <w:top w:val="none" w:sz="0" w:space="0" w:color="auto"/>
                                <w:left w:val="none" w:sz="0" w:space="0" w:color="auto"/>
                                <w:bottom w:val="none" w:sz="0" w:space="0" w:color="auto"/>
                                <w:right w:val="none" w:sz="0" w:space="0" w:color="auto"/>
                              </w:divBdr>
                              <w:divsChild>
                                <w:div w:id="396517835">
                                  <w:marLeft w:val="0"/>
                                  <w:marRight w:val="0"/>
                                  <w:marTop w:val="0"/>
                                  <w:marBottom w:val="0"/>
                                  <w:divBdr>
                                    <w:top w:val="none" w:sz="0" w:space="0" w:color="auto"/>
                                    <w:left w:val="none" w:sz="0" w:space="0" w:color="auto"/>
                                    <w:bottom w:val="none" w:sz="0" w:space="0" w:color="auto"/>
                                    <w:right w:val="none" w:sz="0" w:space="0" w:color="auto"/>
                                  </w:divBdr>
                                  <w:divsChild>
                                    <w:div w:id="2068912794">
                                      <w:marLeft w:val="0"/>
                                      <w:marRight w:val="0"/>
                                      <w:marTop w:val="0"/>
                                      <w:marBottom w:val="163"/>
                                      <w:divBdr>
                                        <w:top w:val="none" w:sz="0" w:space="0" w:color="auto"/>
                                        <w:left w:val="none" w:sz="0" w:space="0" w:color="auto"/>
                                        <w:bottom w:val="none" w:sz="0" w:space="0" w:color="auto"/>
                                        <w:right w:val="none" w:sz="0" w:space="0" w:color="auto"/>
                                      </w:divBdr>
                                      <w:divsChild>
                                        <w:div w:id="1589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5353">
                                  <w:marLeft w:val="0"/>
                                  <w:marRight w:val="0"/>
                                  <w:marTop w:val="0"/>
                                  <w:marBottom w:val="0"/>
                                  <w:divBdr>
                                    <w:top w:val="none" w:sz="0" w:space="0" w:color="auto"/>
                                    <w:left w:val="none" w:sz="0" w:space="0" w:color="auto"/>
                                    <w:bottom w:val="none" w:sz="0" w:space="0" w:color="auto"/>
                                    <w:right w:val="none" w:sz="0" w:space="0" w:color="auto"/>
                                  </w:divBdr>
                                  <w:divsChild>
                                    <w:div w:id="1845239127">
                                      <w:marLeft w:val="0"/>
                                      <w:marRight w:val="0"/>
                                      <w:marTop w:val="0"/>
                                      <w:marBottom w:val="163"/>
                                      <w:divBdr>
                                        <w:top w:val="none" w:sz="0" w:space="0" w:color="auto"/>
                                        <w:left w:val="none" w:sz="0" w:space="0" w:color="auto"/>
                                        <w:bottom w:val="none" w:sz="0" w:space="0" w:color="auto"/>
                                        <w:right w:val="none" w:sz="0" w:space="0" w:color="auto"/>
                                      </w:divBdr>
                                      <w:divsChild>
                                        <w:div w:id="16302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7595">
                                  <w:marLeft w:val="0"/>
                                  <w:marRight w:val="0"/>
                                  <w:marTop w:val="0"/>
                                  <w:marBottom w:val="0"/>
                                  <w:divBdr>
                                    <w:top w:val="none" w:sz="0" w:space="0" w:color="auto"/>
                                    <w:left w:val="none" w:sz="0" w:space="0" w:color="auto"/>
                                    <w:bottom w:val="none" w:sz="0" w:space="0" w:color="auto"/>
                                    <w:right w:val="none" w:sz="0" w:space="0" w:color="auto"/>
                                  </w:divBdr>
                                </w:div>
                              </w:divsChild>
                            </w:div>
                            <w:div w:id="969087942">
                              <w:marLeft w:val="0"/>
                              <w:marRight w:val="0"/>
                              <w:marTop w:val="0"/>
                              <w:marBottom w:val="0"/>
                              <w:divBdr>
                                <w:top w:val="none" w:sz="0" w:space="0" w:color="auto"/>
                                <w:left w:val="none" w:sz="0" w:space="0" w:color="auto"/>
                                <w:bottom w:val="none" w:sz="0" w:space="0" w:color="auto"/>
                                <w:right w:val="none" w:sz="0" w:space="0" w:color="auto"/>
                              </w:divBdr>
                              <w:divsChild>
                                <w:div w:id="227963209">
                                  <w:marLeft w:val="0"/>
                                  <w:marRight w:val="0"/>
                                  <w:marTop w:val="0"/>
                                  <w:marBottom w:val="0"/>
                                  <w:divBdr>
                                    <w:top w:val="none" w:sz="0" w:space="0" w:color="auto"/>
                                    <w:left w:val="none" w:sz="0" w:space="0" w:color="auto"/>
                                    <w:bottom w:val="none" w:sz="0" w:space="0" w:color="auto"/>
                                    <w:right w:val="none" w:sz="0" w:space="0" w:color="auto"/>
                                  </w:divBdr>
                                  <w:divsChild>
                                    <w:div w:id="1801534739">
                                      <w:marLeft w:val="0"/>
                                      <w:marRight w:val="0"/>
                                      <w:marTop w:val="0"/>
                                      <w:marBottom w:val="163"/>
                                      <w:divBdr>
                                        <w:top w:val="none" w:sz="0" w:space="0" w:color="auto"/>
                                        <w:left w:val="none" w:sz="0" w:space="0" w:color="auto"/>
                                        <w:bottom w:val="none" w:sz="0" w:space="0" w:color="auto"/>
                                        <w:right w:val="none" w:sz="0" w:space="0" w:color="auto"/>
                                      </w:divBdr>
                                      <w:divsChild>
                                        <w:div w:id="3185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71171">
      <w:bodyDiv w:val="1"/>
      <w:marLeft w:val="0"/>
      <w:marRight w:val="0"/>
      <w:marTop w:val="0"/>
      <w:marBottom w:val="0"/>
      <w:divBdr>
        <w:top w:val="none" w:sz="0" w:space="0" w:color="auto"/>
        <w:left w:val="none" w:sz="0" w:space="0" w:color="auto"/>
        <w:bottom w:val="none" w:sz="0" w:space="0" w:color="auto"/>
        <w:right w:val="none" w:sz="0" w:space="0" w:color="auto"/>
      </w:divBdr>
    </w:div>
    <w:div w:id="768815329">
      <w:bodyDiv w:val="1"/>
      <w:marLeft w:val="0"/>
      <w:marRight w:val="0"/>
      <w:marTop w:val="0"/>
      <w:marBottom w:val="0"/>
      <w:divBdr>
        <w:top w:val="none" w:sz="0" w:space="0" w:color="auto"/>
        <w:left w:val="none" w:sz="0" w:space="0" w:color="auto"/>
        <w:bottom w:val="none" w:sz="0" w:space="0" w:color="auto"/>
        <w:right w:val="none" w:sz="0" w:space="0" w:color="auto"/>
      </w:divBdr>
    </w:div>
    <w:div w:id="891770936">
      <w:bodyDiv w:val="1"/>
      <w:marLeft w:val="0"/>
      <w:marRight w:val="0"/>
      <w:marTop w:val="0"/>
      <w:marBottom w:val="0"/>
      <w:divBdr>
        <w:top w:val="none" w:sz="0" w:space="0" w:color="auto"/>
        <w:left w:val="none" w:sz="0" w:space="0" w:color="auto"/>
        <w:bottom w:val="none" w:sz="0" w:space="0" w:color="auto"/>
        <w:right w:val="none" w:sz="0" w:space="0" w:color="auto"/>
      </w:divBdr>
    </w:div>
    <w:div w:id="919218869">
      <w:bodyDiv w:val="1"/>
      <w:marLeft w:val="0"/>
      <w:marRight w:val="0"/>
      <w:marTop w:val="0"/>
      <w:marBottom w:val="0"/>
      <w:divBdr>
        <w:top w:val="none" w:sz="0" w:space="0" w:color="auto"/>
        <w:left w:val="none" w:sz="0" w:space="0" w:color="auto"/>
        <w:bottom w:val="none" w:sz="0" w:space="0" w:color="auto"/>
        <w:right w:val="none" w:sz="0" w:space="0" w:color="auto"/>
      </w:divBdr>
    </w:div>
    <w:div w:id="1152798172">
      <w:bodyDiv w:val="1"/>
      <w:marLeft w:val="0"/>
      <w:marRight w:val="0"/>
      <w:marTop w:val="0"/>
      <w:marBottom w:val="0"/>
      <w:divBdr>
        <w:top w:val="none" w:sz="0" w:space="0" w:color="auto"/>
        <w:left w:val="none" w:sz="0" w:space="0" w:color="auto"/>
        <w:bottom w:val="none" w:sz="0" w:space="0" w:color="auto"/>
        <w:right w:val="none" w:sz="0" w:space="0" w:color="auto"/>
      </w:divBdr>
    </w:div>
    <w:div w:id="1241283682">
      <w:bodyDiv w:val="1"/>
      <w:marLeft w:val="0"/>
      <w:marRight w:val="0"/>
      <w:marTop w:val="0"/>
      <w:marBottom w:val="0"/>
      <w:divBdr>
        <w:top w:val="none" w:sz="0" w:space="0" w:color="auto"/>
        <w:left w:val="none" w:sz="0" w:space="0" w:color="auto"/>
        <w:bottom w:val="none" w:sz="0" w:space="0" w:color="auto"/>
        <w:right w:val="none" w:sz="0" w:space="0" w:color="auto"/>
      </w:divBdr>
    </w:div>
    <w:div w:id="1281569279">
      <w:bodyDiv w:val="1"/>
      <w:marLeft w:val="0"/>
      <w:marRight w:val="0"/>
      <w:marTop w:val="0"/>
      <w:marBottom w:val="0"/>
      <w:divBdr>
        <w:top w:val="none" w:sz="0" w:space="0" w:color="auto"/>
        <w:left w:val="none" w:sz="0" w:space="0" w:color="auto"/>
        <w:bottom w:val="none" w:sz="0" w:space="0" w:color="auto"/>
        <w:right w:val="none" w:sz="0" w:space="0" w:color="auto"/>
      </w:divBdr>
    </w:div>
    <w:div w:id="1351180359">
      <w:bodyDiv w:val="1"/>
      <w:marLeft w:val="0"/>
      <w:marRight w:val="0"/>
      <w:marTop w:val="0"/>
      <w:marBottom w:val="0"/>
      <w:divBdr>
        <w:top w:val="none" w:sz="0" w:space="0" w:color="auto"/>
        <w:left w:val="none" w:sz="0" w:space="0" w:color="auto"/>
        <w:bottom w:val="none" w:sz="0" w:space="0" w:color="auto"/>
        <w:right w:val="none" w:sz="0" w:space="0" w:color="auto"/>
      </w:divBdr>
      <w:divsChild>
        <w:div w:id="2056272952">
          <w:marLeft w:val="0"/>
          <w:marRight w:val="0"/>
          <w:marTop w:val="0"/>
          <w:marBottom w:val="0"/>
          <w:divBdr>
            <w:top w:val="none" w:sz="0" w:space="0" w:color="auto"/>
            <w:left w:val="none" w:sz="0" w:space="0" w:color="auto"/>
            <w:bottom w:val="none" w:sz="0" w:space="0" w:color="auto"/>
            <w:right w:val="none" w:sz="0" w:space="0" w:color="auto"/>
          </w:divBdr>
        </w:div>
      </w:divsChild>
    </w:div>
    <w:div w:id="1398549209">
      <w:bodyDiv w:val="1"/>
      <w:marLeft w:val="0"/>
      <w:marRight w:val="0"/>
      <w:marTop w:val="0"/>
      <w:marBottom w:val="0"/>
      <w:divBdr>
        <w:top w:val="none" w:sz="0" w:space="0" w:color="auto"/>
        <w:left w:val="none" w:sz="0" w:space="0" w:color="auto"/>
        <w:bottom w:val="none" w:sz="0" w:space="0" w:color="auto"/>
        <w:right w:val="none" w:sz="0" w:space="0" w:color="auto"/>
      </w:divBdr>
      <w:divsChild>
        <w:div w:id="932978352">
          <w:marLeft w:val="0"/>
          <w:marRight w:val="0"/>
          <w:marTop w:val="0"/>
          <w:marBottom w:val="0"/>
          <w:divBdr>
            <w:top w:val="none" w:sz="0" w:space="0" w:color="auto"/>
            <w:left w:val="none" w:sz="0" w:space="0" w:color="auto"/>
            <w:bottom w:val="none" w:sz="0" w:space="0" w:color="auto"/>
            <w:right w:val="none" w:sz="0" w:space="0" w:color="auto"/>
          </w:divBdr>
          <w:divsChild>
            <w:div w:id="994331942">
              <w:marLeft w:val="0"/>
              <w:marRight w:val="0"/>
              <w:marTop w:val="0"/>
              <w:marBottom w:val="0"/>
              <w:divBdr>
                <w:top w:val="none" w:sz="0" w:space="0" w:color="auto"/>
                <w:left w:val="none" w:sz="0" w:space="0" w:color="auto"/>
                <w:bottom w:val="none" w:sz="0" w:space="0" w:color="auto"/>
                <w:right w:val="none" w:sz="0" w:space="0" w:color="auto"/>
              </w:divBdr>
              <w:divsChild>
                <w:div w:id="734625666">
                  <w:marLeft w:val="0"/>
                  <w:marRight w:val="0"/>
                  <w:marTop w:val="0"/>
                  <w:marBottom w:val="0"/>
                  <w:divBdr>
                    <w:top w:val="none" w:sz="0" w:space="0" w:color="auto"/>
                    <w:left w:val="none" w:sz="0" w:space="0" w:color="auto"/>
                    <w:bottom w:val="none" w:sz="0" w:space="0" w:color="auto"/>
                    <w:right w:val="none" w:sz="0" w:space="0" w:color="auto"/>
                  </w:divBdr>
                  <w:divsChild>
                    <w:div w:id="332144283">
                      <w:marLeft w:val="0"/>
                      <w:marRight w:val="0"/>
                      <w:marTop w:val="0"/>
                      <w:marBottom w:val="195"/>
                      <w:divBdr>
                        <w:top w:val="none" w:sz="0" w:space="0" w:color="auto"/>
                        <w:left w:val="none" w:sz="0" w:space="0" w:color="auto"/>
                        <w:bottom w:val="none" w:sz="0" w:space="0" w:color="auto"/>
                        <w:right w:val="none" w:sz="0" w:space="0" w:color="auto"/>
                      </w:divBdr>
                      <w:divsChild>
                        <w:div w:id="8586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28095">
              <w:marLeft w:val="0"/>
              <w:marRight w:val="0"/>
              <w:marTop w:val="0"/>
              <w:marBottom w:val="0"/>
              <w:divBdr>
                <w:top w:val="none" w:sz="0" w:space="0" w:color="auto"/>
                <w:left w:val="none" w:sz="0" w:space="0" w:color="auto"/>
                <w:bottom w:val="none" w:sz="0" w:space="0" w:color="auto"/>
                <w:right w:val="none" w:sz="0" w:space="0" w:color="auto"/>
              </w:divBdr>
            </w:div>
          </w:divsChild>
        </w:div>
        <w:div w:id="1876651945">
          <w:marLeft w:val="0"/>
          <w:marRight w:val="0"/>
          <w:marTop w:val="285"/>
          <w:marBottom w:val="0"/>
          <w:divBdr>
            <w:top w:val="none" w:sz="0" w:space="0" w:color="auto"/>
            <w:left w:val="none" w:sz="0" w:space="0" w:color="auto"/>
            <w:bottom w:val="none" w:sz="0" w:space="0" w:color="auto"/>
            <w:right w:val="none" w:sz="0" w:space="0" w:color="auto"/>
          </w:divBdr>
        </w:div>
      </w:divsChild>
    </w:div>
    <w:div w:id="1460953982">
      <w:bodyDiv w:val="1"/>
      <w:marLeft w:val="0"/>
      <w:marRight w:val="0"/>
      <w:marTop w:val="0"/>
      <w:marBottom w:val="0"/>
      <w:divBdr>
        <w:top w:val="none" w:sz="0" w:space="0" w:color="auto"/>
        <w:left w:val="none" w:sz="0" w:space="0" w:color="auto"/>
        <w:bottom w:val="none" w:sz="0" w:space="0" w:color="auto"/>
        <w:right w:val="none" w:sz="0" w:space="0" w:color="auto"/>
      </w:divBdr>
    </w:div>
    <w:div w:id="1490366100">
      <w:bodyDiv w:val="1"/>
      <w:marLeft w:val="0"/>
      <w:marRight w:val="0"/>
      <w:marTop w:val="0"/>
      <w:marBottom w:val="0"/>
      <w:divBdr>
        <w:top w:val="none" w:sz="0" w:space="0" w:color="auto"/>
        <w:left w:val="none" w:sz="0" w:space="0" w:color="auto"/>
        <w:bottom w:val="none" w:sz="0" w:space="0" w:color="auto"/>
        <w:right w:val="none" w:sz="0" w:space="0" w:color="auto"/>
      </w:divBdr>
    </w:div>
    <w:div w:id="1562789266">
      <w:bodyDiv w:val="1"/>
      <w:marLeft w:val="0"/>
      <w:marRight w:val="0"/>
      <w:marTop w:val="0"/>
      <w:marBottom w:val="0"/>
      <w:divBdr>
        <w:top w:val="none" w:sz="0" w:space="0" w:color="auto"/>
        <w:left w:val="none" w:sz="0" w:space="0" w:color="auto"/>
        <w:bottom w:val="none" w:sz="0" w:space="0" w:color="auto"/>
        <w:right w:val="none" w:sz="0" w:space="0" w:color="auto"/>
      </w:divBdr>
    </w:div>
    <w:div w:id="1567104117">
      <w:bodyDiv w:val="1"/>
      <w:marLeft w:val="0"/>
      <w:marRight w:val="0"/>
      <w:marTop w:val="0"/>
      <w:marBottom w:val="0"/>
      <w:divBdr>
        <w:top w:val="none" w:sz="0" w:space="0" w:color="auto"/>
        <w:left w:val="none" w:sz="0" w:space="0" w:color="auto"/>
        <w:bottom w:val="none" w:sz="0" w:space="0" w:color="auto"/>
        <w:right w:val="none" w:sz="0" w:space="0" w:color="auto"/>
      </w:divBdr>
    </w:div>
    <w:div w:id="1732730160">
      <w:bodyDiv w:val="1"/>
      <w:marLeft w:val="0"/>
      <w:marRight w:val="0"/>
      <w:marTop w:val="0"/>
      <w:marBottom w:val="0"/>
      <w:divBdr>
        <w:top w:val="none" w:sz="0" w:space="0" w:color="auto"/>
        <w:left w:val="none" w:sz="0" w:space="0" w:color="auto"/>
        <w:bottom w:val="none" w:sz="0" w:space="0" w:color="auto"/>
        <w:right w:val="none" w:sz="0" w:space="0" w:color="auto"/>
      </w:divBdr>
      <w:divsChild>
        <w:div w:id="1629820659">
          <w:marLeft w:val="0"/>
          <w:marRight w:val="0"/>
          <w:marTop w:val="0"/>
          <w:marBottom w:val="0"/>
          <w:divBdr>
            <w:top w:val="none" w:sz="0" w:space="0" w:color="auto"/>
            <w:left w:val="none" w:sz="0" w:space="0" w:color="auto"/>
            <w:bottom w:val="none" w:sz="0" w:space="0" w:color="auto"/>
            <w:right w:val="none" w:sz="0" w:space="0" w:color="auto"/>
          </w:divBdr>
        </w:div>
        <w:div w:id="2092004546">
          <w:marLeft w:val="0"/>
          <w:marRight w:val="0"/>
          <w:marTop w:val="0"/>
          <w:marBottom w:val="0"/>
          <w:divBdr>
            <w:top w:val="none" w:sz="0" w:space="0" w:color="auto"/>
            <w:left w:val="none" w:sz="0" w:space="0" w:color="auto"/>
            <w:bottom w:val="none" w:sz="0" w:space="0" w:color="auto"/>
            <w:right w:val="none" w:sz="0" w:space="0" w:color="auto"/>
          </w:divBdr>
        </w:div>
      </w:divsChild>
    </w:div>
    <w:div w:id="1745105929">
      <w:bodyDiv w:val="1"/>
      <w:marLeft w:val="0"/>
      <w:marRight w:val="0"/>
      <w:marTop w:val="0"/>
      <w:marBottom w:val="0"/>
      <w:divBdr>
        <w:top w:val="none" w:sz="0" w:space="0" w:color="auto"/>
        <w:left w:val="none" w:sz="0" w:space="0" w:color="auto"/>
        <w:bottom w:val="none" w:sz="0" w:space="0" w:color="auto"/>
        <w:right w:val="none" w:sz="0" w:space="0" w:color="auto"/>
      </w:divBdr>
    </w:div>
    <w:div w:id="1841234450">
      <w:bodyDiv w:val="1"/>
      <w:marLeft w:val="0"/>
      <w:marRight w:val="0"/>
      <w:marTop w:val="0"/>
      <w:marBottom w:val="0"/>
      <w:divBdr>
        <w:top w:val="none" w:sz="0" w:space="0" w:color="auto"/>
        <w:left w:val="none" w:sz="0" w:space="0" w:color="auto"/>
        <w:bottom w:val="none" w:sz="0" w:space="0" w:color="auto"/>
        <w:right w:val="none" w:sz="0" w:space="0" w:color="auto"/>
      </w:divBdr>
    </w:div>
    <w:div w:id="1843230968">
      <w:bodyDiv w:val="1"/>
      <w:marLeft w:val="0"/>
      <w:marRight w:val="0"/>
      <w:marTop w:val="0"/>
      <w:marBottom w:val="0"/>
      <w:divBdr>
        <w:top w:val="none" w:sz="0" w:space="0" w:color="auto"/>
        <w:left w:val="none" w:sz="0" w:space="0" w:color="auto"/>
        <w:bottom w:val="none" w:sz="0" w:space="0" w:color="auto"/>
        <w:right w:val="none" w:sz="0" w:space="0" w:color="auto"/>
      </w:divBdr>
    </w:div>
    <w:div w:id="1879005258">
      <w:bodyDiv w:val="1"/>
      <w:marLeft w:val="0"/>
      <w:marRight w:val="0"/>
      <w:marTop w:val="0"/>
      <w:marBottom w:val="0"/>
      <w:divBdr>
        <w:top w:val="none" w:sz="0" w:space="0" w:color="auto"/>
        <w:left w:val="none" w:sz="0" w:space="0" w:color="auto"/>
        <w:bottom w:val="none" w:sz="0" w:space="0" w:color="auto"/>
        <w:right w:val="none" w:sz="0" w:space="0" w:color="auto"/>
      </w:divBdr>
    </w:div>
    <w:div w:id="1994136742">
      <w:bodyDiv w:val="1"/>
      <w:marLeft w:val="0"/>
      <w:marRight w:val="0"/>
      <w:marTop w:val="0"/>
      <w:marBottom w:val="0"/>
      <w:divBdr>
        <w:top w:val="none" w:sz="0" w:space="0" w:color="auto"/>
        <w:left w:val="none" w:sz="0" w:space="0" w:color="auto"/>
        <w:bottom w:val="none" w:sz="0" w:space="0" w:color="auto"/>
        <w:right w:val="none" w:sz="0" w:space="0" w:color="auto"/>
      </w:divBdr>
      <w:divsChild>
        <w:div w:id="45726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84175">
      <w:bodyDiv w:val="1"/>
      <w:marLeft w:val="0"/>
      <w:marRight w:val="0"/>
      <w:marTop w:val="0"/>
      <w:marBottom w:val="0"/>
      <w:divBdr>
        <w:top w:val="none" w:sz="0" w:space="0" w:color="auto"/>
        <w:left w:val="none" w:sz="0" w:space="0" w:color="auto"/>
        <w:bottom w:val="none" w:sz="0" w:space="0" w:color="auto"/>
        <w:right w:val="none" w:sz="0" w:space="0" w:color="auto"/>
      </w:divBdr>
    </w:div>
    <w:div w:id="2036152501">
      <w:bodyDiv w:val="1"/>
      <w:marLeft w:val="0"/>
      <w:marRight w:val="0"/>
      <w:marTop w:val="0"/>
      <w:marBottom w:val="0"/>
      <w:divBdr>
        <w:top w:val="none" w:sz="0" w:space="0" w:color="auto"/>
        <w:left w:val="none" w:sz="0" w:space="0" w:color="auto"/>
        <w:bottom w:val="none" w:sz="0" w:space="0" w:color="auto"/>
        <w:right w:val="none" w:sz="0" w:space="0" w:color="auto"/>
      </w:divBdr>
      <w:divsChild>
        <w:div w:id="406806114">
          <w:marLeft w:val="0"/>
          <w:marRight w:val="0"/>
          <w:marTop w:val="0"/>
          <w:marBottom w:val="0"/>
          <w:divBdr>
            <w:top w:val="none" w:sz="0" w:space="0" w:color="auto"/>
            <w:left w:val="none" w:sz="0" w:space="0" w:color="auto"/>
            <w:bottom w:val="none" w:sz="0" w:space="0" w:color="auto"/>
            <w:right w:val="none" w:sz="0" w:space="0" w:color="auto"/>
          </w:divBdr>
        </w:div>
        <w:div w:id="55423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flukenetworks.com/industrialether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eidmuell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oenixcontac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elegaertner.com/de/"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SharedContentType xmlns="Microsoft.SharePoint.Taxonomy.ContentTypeSync" SourceId="07d8ac53-89e9-4345-86e3-d26e55befc99" ContentTypeId="0x010100EF6CD5A2E53A7345A942D6CA2EDC17FE" PreviousValue="fals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4493-D25B-A54B-A5AA-4B8D4AD70C18}">
  <ds:schemaRefs>
    <ds:schemaRef ds:uri="Microsoft.SharePoint.Taxonomy.ContentTypeSync"/>
  </ds:schemaRefs>
</ds:datastoreItem>
</file>

<file path=customXml/itemProps2.xml><?xml version="1.0" encoding="utf-8"?>
<ds:datastoreItem xmlns:ds="http://schemas.openxmlformats.org/officeDocument/2006/customXml" ds:itemID="{9085C557-A71D-47E2-9627-1F5CA2FA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1168</Words>
  <Characters>7327</Characters>
  <Application>Microsoft Office Word</Application>
  <DocSecurity>0</DocSecurity>
  <Lines>61</Lines>
  <Paragraphs>16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Vorlage Pressemitteilung deutsch</vt:lpstr>
      <vt:lpstr>Vorlage Pressemitteilung deutsch</vt:lpstr>
    </vt:vector>
  </TitlesOfParts>
  <Company>Weidmüller Holding</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deutsch</dc:title>
  <dc:creator>Ingmar Remus</dc:creator>
  <cp:lastModifiedBy>Бронштейн Михаил Маркович</cp:lastModifiedBy>
  <cp:revision>2</cp:revision>
  <cp:lastPrinted>2019-11-21T11:52:00Z</cp:lastPrinted>
  <dcterms:created xsi:type="dcterms:W3CDTF">2019-12-18T12:49:00Z</dcterms:created>
  <dcterms:modified xsi:type="dcterms:W3CDTF">2019-12-18T12:49:00Z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0x010100EF6CD5A2E53A7345A942D6CA2EDC17FE00247175E2836624458A474166DDD29BE3</vt:lpwstr>
  </property>
</Properties>
</file>